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2.jpeg" ContentType="image/jpeg"/>
  <Override PartName="/word/media/image3.jpeg" ContentType="image/jpeg"/>
  <Override PartName="/word/media/image1.jpeg" ContentType="image/jpeg"/>
  <Override PartName="/word/footer2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Российская Автомобильная Федерация</w:t>
      </w:r>
    </w:p>
    <w:p>
      <w:pPr>
        <w:pStyle w:val="Style18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Министерство спорта Нижегородской Области</w:t>
      </w:r>
    </w:p>
    <w:p>
      <w:pPr>
        <w:pStyle w:val="Style18"/>
        <w:jc w:val="center"/>
        <w:rPr>
          <w:rFonts w:ascii="Times New Roman" w:hAnsi="Times New Roman" w:eastAsia="SimSun;宋体" w:cs="Times New Roman"/>
          <w:b/>
          <w:b/>
          <w:bCs/>
          <w:sz w:val="28"/>
          <w:szCs w:val="28"/>
        </w:rPr>
      </w:pPr>
      <w:r>
        <w:rPr>
          <w:rFonts w:eastAsia="SimSun;宋体" w:cs="Times New Roman" w:ascii="Times New Roman" w:hAnsi="Times New Roman"/>
          <w:b/>
          <w:bCs/>
          <w:sz w:val="28"/>
          <w:szCs w:val="28"/>
        </w:rPr>
        <w:t>Региональная физкультурно-спортивная общественная организация «ФРАМСНО»</w:t>
      </w:r>
    </w:p>
    <w:p>
      <w:pPr>
        <w:pStyle w:val="Style18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Автомобильный Спортивный Комплекс «Нижегородское кольцо»</w:t>
      </w:r>
    </w:p>
    <w:p>
      <w:pPr>
        <w:pStyle w:val="Style1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1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-284" w:right="-192" w:hanging="0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2370455" cy="8470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2" r="-8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en-US"/>
        </w:rPr>
        <w:t xml:space="preserve">       </w:t>
      </w:r>
      <w:r>
        <w:rPr>
          <w:lang w:val="en-US" w:eastAsia="en-US"/>
        </w:rPr>
        <w:drawing>
          <wp:inline distT="0" distB="0" distL="0" distR="0">
            <wp:extent cx="1561465" cy="1037590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8" r="-2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en-US"/>
        </w:rPr>
        <w:t xml:space="preserve">      </w:t>
      </w:r>
      <w:r>
        <w:rPr>
          <w:lang w:val="en-US" w:eastAsia="en-US"/>
        </w:rPr>
        <w:drawing>
          <wp:inline distT="0" distB="0" distL="0" distR="0">
            <wp:extent cx="2275840" cy="1113155"/>
            <wp:effectExtent l="0" t="0" r="0" b="0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16" r="-7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7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04"/>
        <w:gridCol w:w="3597"/>
      </w:tblGrid>
      <w:tr>
        <w:trPr>
          <w:trHeight w:val="2694" w:hRule="atLeast"/>
          <w:cantSplit w:val="true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УТВЕРЖДАЮ: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Генеральный директор ООО АСК «Нижегородское кольцо»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___________Пигулевский С.В.</w:t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СОГЛАСОВАНО: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Президент: </w:t>
            </w:r>
          </w:p>
          <w:p>
            <w:pPr>
              <w:pStyle w:val="Normal"/>
              <w:spacing w:before="0" w:after="0"/>
              <w:ind w:left="142" w:hanging="142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РФСОО «ФРАМСНО».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г. Нижний Новгород 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_________Пигулевский С.В.</w:t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СОГЛАСОВАНО: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Министр спорта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Нижегородской области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______________Кононов А.А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</w:tr>
    </w:tbl>
    <w:p>
      <w:pPr>
        <w:pStyle w:val="Normal"/>
        <w:jc w:val="center"/>
        <w:rPr>
          <w:b/>
          <w:b/>
          <w:color w:val="000000"/>
          <w:sz w:val="68"/>
          <w:szCs w:val="68"/>
        </w:rPr>
      </w:pPr>
      <w:r>
        <w:rPr>
          <w:b/>
          <w:color w:val="000000"/>
          <w:sz w:val="68"/>
          <w:szCs w:val="6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56"/>
          <w:szCs w:val="56"/>
        </w:rPr>
      </w:pPr>
      <w:r>
        <w:rPr>
          <w:rFonts w:cs="Times New Roman" w:ascii="Times New Roman" w:hAnsi="Times New Roman"/>
          <w:b/>
          <w:color w:val="000000"/>
          <w:sz w:val="56"/>
          <w:szCs w:val="56"/>
        </w:rPr>
        <w:t>ПОЛОЖЕНИЕ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800000"/>
          <w:sz w:val="44"/>
          <w:szCs w:val="44"/>
        </w:rPr>
      </w:pPr>
      <w:r>
        <w:rPr>
          <w:rFonts w:cs="Times New Roman" w:ascii="Times New Roman" w:hAnsi="Times New Roman"/>
          <w:b/>
          <w:color w:val="800000"/>
          <w:sz w:val="44"/>
          <w:szCs w:val="44"/>
        </w:rPr>
        <w:t>Первенство Нижегородской области по автомобильным кольцевым гонкам.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800000"/>
          <w:sz w:val="44"/>
          <w:szCs w:val="44"/>
        </w:rPr>
      </w:pPr>
      <w:r>
        <w:rPr>
          <w:rFonts w:cs="Times New Roman" w:ascii="Times New Roman" w:hAnsi="Times New Roman"/>
          <w:b/>
          <w:color w:val="800000"/>
          <w:sz w:val="44"/>
          <w:szCs w:val="44"/>
        </w:rPr>
        <w:t xml:space="preserve">Серия </w:t>
      </w:r>
      <w:r>
        <w:rPr>
          <w:rFonts w:cs="Times New Roman" w:ascii="Times New Roman" w:hAnsi="Times New Roman"/>
          <w:b/>
          <w:color w:val="800000"/>
          <w:sz w:val="44"/>
          <w:szCs w:val="44"/>
          <w:lang w:val="en-US"/>
        </w:rPr>
        <w:t xml:space="preserve">NLS </w:t>
      </w:r>
      <w:r>
        <w:rPr>
          <w:rFonts w:cs="Times New Roman" w:ascii="Times New Roman" w:hAnsi="Times New Roman"/>
          <w:b/>
          <w:color w:val="800000"/>
          <w:sz w:val="44"/>
          <w:szCs w:val="44"/>
        </w:rPr>
        <w:t>Юниор.2023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800000"/>
          <w:sz w:val="44"/>
          <w:szCs w:val="44"/>
        </w:rPr>
      </w:pPr>
      <w:r>
        <w:rPr>
          <w:rFonts w:cs="Times New Roman" w:ascii="Times New Roman" w:hAnsi="Times New Roman"/>
          <w:b/>
          <w:color w:val="800000"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виду спорта :  «Автомобильный» 166 000 55 11Я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кольцевые гонки «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S1600</w:t>
      </w:r>
      <w:r>
        <w:rPr>
          <w:rFonts w:cs="Times New Roman" w:ascii="Times New Roman" w:hAnsi="Times New Roman"/>
          <w:b/>
          <w:sz w:val="28"/>
          <w:szCs w:val="28"/>
        </w:rPr>
        <w:t>» 166 026 18 11Я</w:t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tabs>
          <w:tab w:val="clear" w:pos="708"/>
          <w:tab w:val="left" w:pos="5940" w:leader="none"/>
        </w:tabs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b/>
          <w:color w:val="000000"/>
        </w:rPr>
        <w:t>Нижний Новгород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2023 г.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color w:val="000000"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Arial-BoldMT;MS Mincho" w:cs="Times New Roman"/>
          <w:b/>
          <w:b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Arial-BoldMT;MS Mincho" w:cs="Times New Roman"/>
          <w:b/>
          <w:b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sz w:val="28"/>
          <w:szCs w:val="28"/>
        </w:rPr>
        <w:t>ПОЛОЖЕНИЕ ПЕРВЕНСТВА  НИЖЕГОРОДСКОЙ ОБЛАСТИ 2023 ГОДА ПО АВТОМОБИЛЬНЫМ КОЛЬЦЕВЫМ ГОНКАМ.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b/>
        </w:rPr>
        <w:t>ОБЩИЕ ПОЛОЖЕНИЯ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</w:rPr>
        <w:t>РУКОВОДСТВО ПРОВЕДЕНИЕМ СПОРТИВНЫХ СОРЕВНОВАНИЙ</w:t>
      </w: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b/>
        </w:rPr>
        <w:t>ПРОГРАММА СОРЕВНОВАНИЙ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b/>
        </w:rPr>
        <w:t>ТРЕБОВАНИЯ К УЧАСТНИКАМ И УСЛОВИЯ ИХ ДОПУСКА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b/>
        </w:rPr>
        <w:t>ЗАЯВКИ НА УЧАСТИЕ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b/>
        </w:rPr>
        <w:t>УСЛОВИЯ ПОДВЕДЕНИЯ ИТОГОВ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8. </w:t>
      </w:r>
      <w:r>
        <w:rPr>
          <w:rFonts w:cs="Times New Roman" w:ascii="Times New Roman" w:hAnsi="Times New Roman"/>
          <w:b/>
        </w:rPr>
        <w:t>НАГРАЖДЕНИЕ ПОБЕДИТЕЛЕЙ И ПРИЗЕРОВ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9. </w:t>
      </w:r>
      <w:r>
        <w:rPr>
          <w:rFonts w:cs="Times New Roman" w:ascii="Times New Roman" w:hAnsi="Times New Roman"/>
          <w:b/>
        </w:rPr>
        <w:t>УСЛОВИЯ ФИНАНСИРОВАНИЯ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10. </w:t>
      </w:r>
      <w:r>
        <w:rPr>
          <w:rFonts w:cs="Times New Roman" w:ascii="Times New Roman" w:hAnsi="Times New Roman"/>
          <w:b/>
          <w:sz w:val="24"/>
          <w:szCs w:val="24"/>
        </w:rPr>
        <w:t>ДОПОЛНИТЕЛЬНЫЕУСЛОВИЯ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jc w:val="center"/>
        <w:rPr>
          <w:b/>
          <w:b/>
        </w:rPr>
      </w:pPr>
      <w:r>
        <w:rPr>
          <w:b/>
          <w:lang w:val="en-US"/>
        </w:rPr>
        <w:t>I</w:t>
      </w:r>
      <w:r>
        <w:rPr>
          <w:b/>
        </w:rPr>
        <w:t xml:space="preserve">. </w:t>
      </w:r>
      <w:r>
        <w:rPr>
          <w:rFonts w:cs="Times New Roman" w:ascii="Times New Roman" w:hAnsi="Times New Roman"/>
          <w:b/>
        </w:rPr>
        <w:t>ОБЩИЕ ПОЛОЖЕНИЯ</w:t>
      </w:r>
      <w:r>
        <w:rPr>
          <w:b/>
        </w:rPr>
        <w:t>.</w:t>
      </w:r>
    </w:p>
    <w:p>
      <w:pPr>
        <w:pStyle w:val="Normal"/>
        <w:spacing w:before="0" w:after="60"/>
        <w:rPr>
          <w:b/>
          <w:b/>
          <w:color w:val="000000"/>
        </w:rPr>
      </w:pPr>
      <w:r>
        <w:rPr>
          <w:b/>
          <w:color w:val="000000"/>
        </w:rPr>
        <w:t xml:space="preserve">  </w:t>
      </w:r>
    </w:p>
    <w:p>
      <w:pPr>
        <w:pStyle w:val="Style20"/>
        <w:numPr>
          <w:ilvl w:val="0"/>
          <w:numId w:val="5"/>
        </w:numPr>
        <w:spacing w:lineRule="auto" w:line="276" w:before="0" w:after="0"/>
        <w:ind w:left="0" w:firstLine="426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Областные официальные спортивные соревнования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«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Первенство Нижегородской области по автомобильным кольцевым гонкам серии NLS  2023 г.»</w:t>
      </w:r>
      <w:r>
        <w:rPr>
          <w:rFonts w:cs="Times New Roman" w:ascii="Times New Roman" w:hAnsi="Times New Roman"/>
          <w:sz w:val="24"/>
          <w:szCs w:val="24"/>
        </w:rPr>
        <w:t xml:space="preserve"> (далее - спортивные соревнования), включены в настоящее Положение на основании предложений Региональной Физкультурно-Спортивной Общественной Организации «Федерации Развития Автомобильного и Мотоциклетного Спорта Нижегородской Области (далее – РФСОО «ФРАМСНО»), 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17.11.2021 № 191.</w:t>
      </w:r>
    </w:p>
    <w:p>
      <w:pPr>
        <w:pStyle w:val="Normal"/>
        <w:tabs>
          <w:tab w:val="clear" w:pos="708"/>
          <w:tab w:val="right" w:pos="9072" w:leader="dot"/>
        </w:tabs>
        <w:jc w:val="both"/>
        <w:rPr/>
      </w:pPr>
      <w:r>
        <w:rPr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Спортивные соревнования проводятся в соответствии с правилами вида спорта «Автомобильный», утвержденными приказом Министерства спорта Российской Федерации.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Сроки и место проведения соревнований: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i/>
          <w:i/>
          <w:color w:val="000080"/>
        </w:rPr>
      </w:pPr>
      <w:r>
        <w:rPr>
          <w:b/>
          <w:color w:val="000080"/>
        </w:rPr>
        <w:t xml:space="preserve">1 этап –  13 августа 2023 года, Богородский  район, </w:t>
      </w:r>
      <w:r>
        <w:rPr>
          <w:b/>
          <w:i/>
          <w:color w:val="000080"/>
        </w:rPr>
        <w:t>трасса АСК «Нижегородское кольцо»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i/>
          <w:i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>2 этап  -  2  сентября (</w:t>
      </w:r>
      <w:r>
        <w:rPr>
          <w:b/>
          <w:i/>
          <w:color w:val="000080"/>
        </w:rPr>
        <w:t>предварительно</w:t>
      </w:r>
      <w:r>
        <w:rPr>
          <w:b/>
          <w:color w:val="000080"/>
        </w:rPr>
        <w:t xml:space="preserve">) 2023 года, Богородский  район, </w:t>
      </w:r>
      <w:r>
        <w:rPr>
          <w:b/>
          <w:i/>
          <w:color w:val="000080"/>
        </w:rPr>
        <w:t>трасса АСК «Нижегородское кольцо»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>3 этап –  15 октября (</w:t>
      </w:r>
      <w:r>
        <w:rPr>
          <w:b/>
          <w:i/>
          <w:color w:val="000080"/>
        </w:rPr>
        <w:t>предварительно</w:t>
      </w:r>
      <w:r>
        <w:rPr>
          <w:b/>
          <w:color w:val="000080"/>
        </w:rPr>
        <w:t xml:space="preserve">) 2023 года, Богородский  район, </w:t>
      </w:r>
      <w:r>
        <w:rPr>
          <w:b/>
          <w:i/>
          <w:color w:val="000080"/>
        </w:rPr>
        <w:t>трасса АСК «Нижегородское кольцо»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4.Задачами проведения спортивных соревнований являются:</w:t>
      </w:r>
    </w:p>
    <w:p>
      <w:pPr>
        <w:pStyle w:val="Style20"/>
        <w:spacing w:lineRule="auto" w:line="240" w:before="0" w:after="0"/>
        <w:ind w:left="567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выявление сильнейших спортсменов для формирования списка кандидатов в спортивные сборные команды Нижегородской области,</w:t>
      </w:r>
    </w:p>
    <w:p>
      <w:pPr>
        <w:pStyle w:val="Style20"/>
        <w:spacing w:lineRule="auto" w:line="240" w:before="0" w:after="0"/>
        <w:ind w:left="567" w:hanging="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>- отбор спортсменов в спортивные сборные команды Нижегородской области для подготовки к чемпионатам и первенствам  Приволжского федерального округа, чемпионатам и первенствам России, Всероссийским соревнованиям и участия в них от Нижегородской области,</w:t>
      </w:r>
    </w:p>
    <w:p>
      <w:pPr>
        <w:pStyle w:val="Style20"/>
        <w:spacing w:lineRule="auto" w:line="240" w:before="0" w:after="0"/>
        <w:ind w:left="567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развитие и популяризация автомобильного спорта на территории Нижегородской области.</w:t>
      </w:r>
    </w:p>
    <w:p>
      <w:pPr>
        <w:pStyle w:val="Normal"/>
        <w:spacing w:lineRule="auto" w:line="2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Запрещается оказывать противоправное влияние на результаты спортивных соревнований, включённых в настоящее Положение.</w:t>
      </w:r>
    </w:p>
    <w:p>
      <w:pPr>
        <w:pStyle w:val="Normal"/>
        <w:spacing w:lineRule="auto" w:line="2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№329 «О физической культуре и спорте в Российской Федерации».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>. РУКОВОДСТВО ПРОВЕДЕНИЕМ СПОРТИВНЫХ СОРЕВНОВАНИЙ.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Организатором соревнования в 2023 выступает ООО АСК «Нижегородское кольцо». Общее руководство проведением спортивных соревнований осуществляется министерством спорта Нижегородской области и РФСОО «ФРАМСНО».</w:t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Непосредственное проведение спортивных соревнований возлагается на главную судейскую      коллегию, утверждаемую РФСОО «ФРАМСНО».</w:t>
      </w:r>
    </w:p>
    <w:p>
      <w:pPr>
        <w:pStyle w:val="Style20"/>
        <w:spacing w:lineRule="auto" w:line="240" w:before="0" w:after="0"/>
        <w:ind w:left="567" w:hanging="0"/>
        <w:contextualSpacing/>
        <w:jc w:val="both"/>
        <w:rPr>
          <w:rFonts w:ascii="Times New Roman" w:hAnsi="Times New Roman" w:cs="Times New Roman"/>
          <w:b/>
          <w:b/>
          <w:color w:val="000080"/>
          <w:sz w:val="24"/>
          <w:szCs w:val="24"/>
        </w:rPr>
      </w:pPr>
      <w:r>
        <w:rPr>
          <w:rFonts w:cs="Times New Roman" w:ascii="Times New Roman" w:hAnsi="Times New Roman"/>
          <w:b/>
          <w:color w:val="000080"/>
          <w:sz w:val="24"/>
          <w:szCs w:val="24"/>
        </w:rPr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>2.2  Официальные лица соревнования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Пигулевский Сергей (Председатель Оргкомитета) +79202501158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Гусев Дмитрий (г.Нижний Новгород ) СС 1 категории (Руководитель гонки) 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(Главный хронометрист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(Главный секретарь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(КСК)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(Технический комиссар)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(Главный врач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(Судья при участниках)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Электронный адрес постоянного Секретариата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: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info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@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nring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ru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Официальный сайт соревнования: </w:t>
      </w:r>
      <w:hyperlink r:id="rId5">
        <w:r>
          <w:rPr>
            <w:rStyle w:val="InternetLink"/>
            <w:rFonts w:cs="Times New Roman" w:ascii="Times New Roman" w:hAnsi="Times New Roman"/>
            <w:sz w:val="24"/>
            <w:szCs w:val="24"/>
          </w:rPr>
          <w:t>www.nring.ru</w:t>
        </w:r>
      </w:hyperlink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20"/>
        <w:numPr>
          <w:ilvl w:val="1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Министерство спорта Нижегородской области и РФСОО «ФРАМСНО» определяют условия проведения спортивных соревнований, предусмотренные настоящим Положением.</w:t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1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Нормативными документами организации и проведения соревнования являются: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Федеральный закон от 04.12.2007 № 329-ФЗ «О физической культуре и спорте в Российской Федерации»;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б) Единая Всероссийская спортивная классификация (ЕВСК); в) Всероссийский реестр видов спорта (ВРВС);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г) Спортивный Кодекс РАФ (СК РАФ) и приложения к нему;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д) Правила организации и проведения соревнований по кольцевым гонкам (Правила);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е) Настоящее положение и дополнения к нему (бюллетени, информационные письма)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ж)Классификация и Технические Требования к автомобилям, участвующим в спортивных соревнованиях (КиТТ), Технические описания зачётных групп;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з) Частные Регламенты соревнований.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>. ОБЕСПЕЧЕНИЕ БЕЗОПАСНОСТИ УЧАСТНИКОВ И ЗРИТЕЛЕЙ, МЕДИЦИНСКОЕ ОБЕСПЕЧЕНИЕ, АНТИДОПИНГОВОЕ ОБЕСПЕЧЕНИЕ СПОРТИВНЫХ СОРЕВНОВАНИЙ.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г. №329 «О физической культуре и спорте в Российской Федерации».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 № 353.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09.08.2016 г. № 947.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10.11.1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. ПРОГРАММА СОРЕВНОВАНИЙ.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8.00 – 9.00      Регистрация участников, АП, ПТИ, Медицинский контроль   (все классы)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9.10 – 9.20      Заседание КСК, Утверждение и публикация списков допущенных участников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9.20 – 9.50      Брифинг пилотов 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10.30 – 10.50  Официальная тренировка Юниор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11.55 – 12.15  Квалификация Юниор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13.55 – 14.10  Предстартовая процедура Юниор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14.10 – 14.35  Гонка 1 Юниор (7 кругов старт с места)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16.00 – 16.15  Предстартовая процедура Юниор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16.15 – 16.35  Гонка 2 Юниор (7 кругов старт с места)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17.00               НАГРАЖДЕНИЕ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Программа соревнований, по решению организатора может быть изменена*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. ТРЕБОВАНИЯ К УЧАСТНИКАМ И УСЛОВИЯ ИХ ДОПУСКА.</w:t>
      </w:r>
    </w:p>
    <w:p>
      <w:pPr>
        <w:pStyle w:val="Style20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 спортивным соревнованиям допускаются спортсмены следующих возрастных категорий: мужчины, женщины, Юноши, девушки (14-17 лет)</w:t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Спортивные соревнования проходят по следующим дисциплинам: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кольцевые гонки "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1600" 1660261811Л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К участию в соревнованиях допускаются Пилоты, подавшие заявки и оплатившие стартовый взнос, имеющие действующие Лицензии  Пилота, выданные  РАФ не ниже категории «Ею» и соответствующие критериям допуска для участия в официальных соревнованиях. Пилоты, не обладающие по мнению КСК, достаточным уровнем подготовки и представляющие  опасность для соревнующихся, могут быть  решением КСК отстранены от тренировок или гонок.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Экипировка Пилотов должна соответствовать Приложению 15 к КиТТ. Применение системы FHR (HANS®) рекомендовано.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ДОПУСКАЕМЫЕ АВТОМОБИЛИ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К участию в соревнованиях допускаются автомобили, соответствующие действующим в 2023 году КиТТ и дополнительным техническим требованиям к автомобилям участвующим в кольцевых гонках.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- В зачетную группу Юниор «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S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1600» </w:t>
      </w:r>
      <w:r>
        <w:rPr>
          <w:rFonts w:eastAsia="Arial-BoldMT;MS Mincho" w:cs="Times New Roman" w:ascii="Times New Roman" w:hAnsi="Times New Roman"/>
          <w:bCs/>
          <w:sz w:val="24"/>
          <w:szCs w:val="24"/>
          <w:highlight w:val="yellow"/>
        </w:rPr>
        <w:t>допускаются:</w:t>
      </w:r>
    </w:p>
    <w:p>
      <w:pPr>
        <w:pStyle w:val="Default"/>
        <w:rPr>
          <w:b/>
          <w:b/>
          <w:highlight w:val="yellow"/>
          <w:u w:val="single"/>
        </w:rPr>
      </w:pPr>
      <w:r>
        <w:rPr>
          <w:rFonts w:eastAsia="Times New Roman" w:cs="Times New Roman" w:ascii="Times New Roman" w:hAnsi="Times New Roman"/>
          <w:bCs/>
          <w:highlight w:val="yellow"/>
        </w:rPr>
        <w:t xml:space="preserve">         </w:t>
      </w:r>
      <w:r>
        <w:rPr>
          <w:rFonts w:eastAsia="Arial-BoldMT;MS Mincho" w:cs="Times New Roman" w:ascii="Times New Roman" w:hAnsi="Times New Roman"/>
          <w:bCs/>
          <w:highlight w:val="yellow"/>
        </w:rPr>
        <w:t xml:space="preserve">- автомобили, подготовленные по </w:t>
      </w:r>
      <w:r>
        <w:rPr>
          <w:rFonts w:eastAsia="Arial-BoldMT;MS Mincho" w:cs="Times New Roman" w:ascii="Times New Roman" w:hAnsi="Times New Roman"/>
          <w:bCs/>
          <w:highlight w:val="yellow"/>
          <w:u w:val="single"/>
        </w:rPr>
        <w:t xml:space="preserve">« </w:t>
      </w:r>
      <w:r>
        <w:rPr>
          <w:rFonts w:eastAsia="Arial-BoldMT;MS Mincho" w:cs="Times New Roman"/>
          <w:b/>
          <w:bCs/>
          <w:highlight w:val="yellow"/>
          <w:u w:val="single"/>
        </w:rPr>
        <w:t xml:space="preserve">Техническим требованиям к  легковым автомобилям </w:t>
      </w:r>
    </w:p>
    <w:p>
      <w:pPr>
        <w:pStyle w:val="Default"/>
        <w:rPr>
          <w:b/>
          <w:b/>
          <w:bCs/>
          <w:sz w:val="22"/>
          <w:szCs w:val="22"/>
          <w:u w:val="single"/>
        </w:rPr>
      </w:pPr>
      <w:r>
        <w:rPr>
          <w:b/>
          <w:highlight w:val="yellow"/>
          <w:u w:val="single"/>
        </w:rPr>
        <w:t xml:space="preserve"> </w:t>
      </w:r>
      <w:r>
        <w:rPr>
          <w:b/>
          <w:bCs/>
          <w:i/>
          <w:iCs/>
          <w:highlight w:val="yellow"/>
          <w:u w:val="single"/>
        </w:rPr>
        <w:t xml:space="preserve">для кросса и ралли-кросса» </w:t>
      </w:r>
      <w:r>
        <w:rPr>
          <w:b/>
          <w:bCs/>
          <w:i/>
          <w:iCs/>
          <w:sz w:val="23"/>
          <w:szCs w:val="23"/>
          <w:highlight w:val="yellow"/>
          <w:u w:val="single"/>
        </w:rPr>
        <w:t>ПРИЛОЖЕНИЕ 3А К КиТТ (</w:t>
      </w:r>
      <w:r>
        <w:rPr>
          <w:b/>
          <w:highlight w:val="yellow"/>
          <w:u w:val="single"/>
        </w:rPr>
        <w:t xml:space="preserve"> </w:t>
      </w:r>
      <w:r>
        <w:rPr>
          <w:b/>
          <w:bCs/>
          <w:sz w:val="22"/>
          <w:szCs w:val="22"/>
          <w:highlight w:val="yellow"/>
          <w:u w:val="single"/>
        </w:rPr>
        <w:t>ТРЕБОВАНИЯ К АВТОМОБИЛЯМ ГРУППЫ Д2-«ЮНИОР» (Всероссийские соревнования) и дополнениям к ним.</w:t>
      </w:r>
    </w:p>
    <w:p>
      <w:pPr>
        <w:pStyle w:val="Default"/>
        <w:rPr>
          <w:rFonts w:eastAsia="Arial-BoldMT;MS Mincho" w:cs="Times New Roman"/>
          <w:b/>
          <w:b/>
          <w:bCs/>
          <w:sz w:val="22"/>
          <w:szCs w:val="22"/>
          <w:u w:val="single"/>
        </w:rPr>
      </w:pPr>
      <w:r>
        <w:rPr>
          <w:rFonts w:eastAsia="Arial-BoldMT;MS Mincho" w:cs="Times New Roman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Все автомобили должны быть оборудованы исправными датчиками автоматической системы хронометража «TRANX-260, </w:t>
      </w:r>
      <w:r>
        <w:rPr>
          <w:rFonts w:cs="Times New Roman" w:ascii="Times New Roman" w:hAnsi="Times New Roman"/>
          <w:sz w:val="24"/>
          <w:szCs w:val="24"/>
          <w:lang w:val="en-US"/>
        </w:rPr>
        <w:t>X</w:t>
      </w:r>
      <w:r>
        <w:rPr>
          <w:rFonts w:cs="Times New Roman" w:ascii="Times New Roman" w:hAnsi="Times New Roman"/>
          <w:sz w:val="24"/>
          <w:szCs w:val="24"/>
        </w:rPr>
        <w:t xml:space="preserve">2», номера которых указываются Участниками на Административной проверке. Датчики могут быть предоставлены в аренду Организатором при этом, участник, несёт ответственность за работоспособность и в случае порчи датчика компенсирует его полную стоимость. 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автомобили, участвующие в соревновании должны иметь установленный РАФ Технический Паспорт на автомобиль, участвующий в спортивных соревнованиях (СТП).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всех автомобилях должна быть установлена система «он-борд» видеозаписи. Расположение и способ крепления видеокамеры должны быть согласованы с техническими контролёрами. Обязанностью Заявителя, является поддержание её в работоспособном состоянии во время каждого заезда и включение до старта заезда. После старта заезда запрещены любые действия с системой видеозаписи, камерой, носителем видеоинформации до снятия режима Закрытого парка, либо до разрешения технического контролёра и в его присутствии. Указанный запрет распространяется, в том числе, и на не финишировавший автомобиль. Технические контролёры должны иметь доступ к видеокамерам и информации, записанной на них, в любой момент в течение соревнования. Ответственность за работоспособность видеокамер, выставленного ракурса съёмки, целостности, непрерывности, количества и качества записанной информации, лежит на Заявителе.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Техническая инспекция проводится в соответствии с программой этапа соревнования.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Автомобиль участника должен нести на себе обязательную рекламу Организатора в течение всего соревнования. Отсутствие обязательной рекламы может послужить причиной отказа в допуске автомобиля в заезд.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всех автомобилях должны использоваться шины, указанные в Приложении 3. Использование шинных грелок запрещено во всех зачетных группах.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всех автомобилях должно использоваться топливо, указанное в Приложении 4.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этап одним Водителем могут быть заявлены максимум два автомобиля в каждой зачетной группе.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случае, заявки одним Водителем двух автомобилей в одной зачётной группе на этап, участник обязан предоставить к осмотру каждый автомобиль на ПТИ (Предварительную Техническую Инспекцию), а так же на каждой Технической Инспекции по требованию технического контролёра. Подменный автомобиль должен полностью соответствовать Ки ТТ подменяемого.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Смена автомобиля участником допускается один раз  за этап, при  этом запрещена смена автомобиля на протяжении отдельно взятого официального заезда, данный участник обязан стартовать с последней позиции в ближайшей гонке, в которой он будет принимать участие.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применения весовых гандикапов описан в Приложении 1 к данному регламенту.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Углубленный технический осмотр производится в соответствии с Приложением 10 к СК РАФ «Положение об углублённом техническом осмотре автомобилей, участвующих в соревнованиях».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С целью уравнивания соревновательных возможностей, величины изменяемых параметров автомобилей могут неоднократно корректироваться в течение многоэтапного соревнования, но не более одного раза на этапе. Право принятия в ходе сезона решений об уравнивании соревновательных возможностей автомобилей, участвующих в зачётных группах, имеет Организатор.</w:t>
      </w:r>
    </w:p>
    <w:p>
      <w:pPr>
        <w:pStyle w:val="Normal"/>
        <w:autoSpaceDE w:val="false"/>
        <w:spacing w:lineRule="auto" w:line="240" w:before="0" w:after="0"/>
        <w:ind w:left="88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sz w:val="28"/>
          <w:szCs w:val="28"/>
        </w:rPr>
        <w:t>. ЗАЯВКИ НА УЧАСТИЕ.</w:t>
      </w:r>
    </w:p>
    <w:p>
      <w:pPr>
        <w:pStyle w:val="Normal"/>
        <w:numPr>
          <w:ilvl w:val="0"/>
          <w:numId w:val="3"/>
        </w:numPr>
        <w:autoSpaceDE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Заявки на участие в личном и командном зачёте подаются не позднее 7 дней до начала соревнования на электронную почту </w:t>
      </w:r>
      <w:hyperlink r:id="rId6"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info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</w:rPr>
          <w:t>@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nring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</w:rPr>
          <w:t>.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ru</w:t>
        </w:r>
      </w:hyperlink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..Полностью заполненную и собственноручно подписанную заявку, участник должен предъявить на административной проверке в начале каждого этапа соревнования. Форма заявки приведена в Приложении №2  к данному положению. </w:t>
      </w:r>
    </w:p>
    <w:p>
      <w:pPr>
        <w:pStyle w:val="Style20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заявке прилагаются следующие документы на каждого спортсмена:</w:t>
      </w:r>
    </w:p>
    <w:p>
      <w:pPr>
        <w:pStyle w:val="Style20"/>
        <w:spacing w:lineRule="auto" w:line="276" w:before="0" w:after="0"/>
        <w:ind w:left="36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 паспорт или иной документ удостоверяющий личность,</w:t>
      </w:r>
    </w:p>
    <w:p>
      <w:pPr>
        <w:pStyle w:val="Style20"/>
        <w:spacing w:lineRule="auto" w:line="276" w:before="0" w:after="0"/>
        <w:ind w:left="36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 полис обязательного медицинского страхования,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- полис страхования жизни и здоровья от несчастных случаев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- Национальная Лицензия пилота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- Персональная национальная лицензия заявителя (для родителей или законных представителей пилотов )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. УСЛОВИЯ ПОДВЕДЕНИЯ ИТОГОВ.</w:t>
      </w:r>
    </w:p>
    <w:p>
      <w:pPr>
        <w:pStyle w:val="Normal"/>
        <w:numPr>
          <w:ilvl w:val="1"/>
          <w:numId w:val="6"/>
        </w:numPr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Официальные соревнования проводятся в личном зачёте.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принявшим участие на этапе понимается спортсмен, принявший старт (пересёкший линию старта после подачи стартовой команды) хотя бы в одной из гонок этапа. Принявшим участие в Официальных соревнованиях считается спортсмен, фактически принявший участие хотя бы в одном из этапов.</w:t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Проведение тренировок, квалификации, разминки и гонок осуществляется в соответствии с Правилами.</w:t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/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Тренировка: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 проводится как минимум одна тренировка продолжительностью не менее 20 минут.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Квалификация: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время квалификации работа с автомобилями, участвующими в ней, разрешается только в рабочей зоне пит-лейн перед боксами.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/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Проводится одна квалификация длительностью 20 минут. В случае досрочной остановки квалификации по каким-либо причинам, время заезда будет увеличено на время остановки.</w:t>
      </w:r>
    </w:p>
    <w:p>
      <w:pPr>
        <w:pStyle w:val="Normal"/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Если несколько Пилотов показали одинаковое время, преимущество имеет Пилот, показавший это время первым.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После окончания квалификации все Пилоты должны направить свои автомобили в зону ТИ.</w:t>
      </w:r>
    </w:p>
    <w:p>
      <w:pPr>
        <w:pStyle w:val="Normal"/>
        <w:autoSpaceDE w:val="false"/>
        <w:spacing w:lineRule="auto" w:line="240" w:before="0" w:after="0"/>
        <w:ind w:left="176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Стартовая решетка:</w:t>
      </w:r>
    </w:p>
    <w:p>
      <w:pPr>
        <w:pStyle w:val="Normal"/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Расстановка на стартовой решетке первой гонки – по лучшему времени в квалификации. </w:t>
      </w:r>
      <w:r>
        <w:rPr>
          <w:rFonts w:cs="Times New Roman" w:ascii="Times New Roman" w:hAnsi="Times New Roman"/>
          <w:sz w:val="24"/>
          <w:szCs w:val="24"/>
        </w:rPr>
        <w:t>Расстановка на стартовой решётке второй гонки  –  по результатам первой гонки, при этом первые шесть спортсменов, располагаются на старте в обратном порядке от результатов первой гонки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Спортсмены, не стартовавшие в квалификации – после стартовавших в ней, спортсмены, не стартовавшие в первой гонке занимают места на старте после стартовавших в ней, в соответствии с результатом квалификации. Спортсмены, стартовавшие в первой гонке, но не классифицированные в ней, расставляются на старте второй гонки в порядке крайнего пересечения любой из официальных петель хронометража, когда представляется возможным определить положение на трассе всех подобных автомобилей, а при невозможности определить такое пересечение – по результату квалификации. Пенализация в виде потери определённого количества мест на старте применяется после формирования стартовой решётки как указано выше.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Порядок проведения гонок и стартовая процедура определяются Правилами.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Старт всех гонок с места.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заездах спортсмены классифицируются в порядке пересечения линии финиша с учётом количества пройденных ими кругов; принимается во внимание только количество полных кругов.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Классифицируются только те спортсмены, которые прошли, как минимум 75% дистанции победителя заезда. При расчёте количества кругов зачётной дистанции неполный круг округляется в меньшую сторону. При определении победителей и призёров Первенства, за каждую гонку каждого Этапа Водителям начисляются очки в зачёт Официального соревнования по «Таблице №2», исходя из занятого места. </w:t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Победитель этапа определяется по сумме очков во всех проведённых гонках этапа. При равенстве очков – по лучшему месту в последней гонке этапа.</w:t>
      </w:r>
    </w:p>
    <w:p>
      <w:pPr>
        <w:pStyle w:val="Normal"/>
        <w:ind w:left="720" w:right="-2" w:hanging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720" w:right="-2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Таблица №2</w:t>
      </w:r>
    </w:p>
    <w:tbl>
      <w:tblPr>
        <w:tblW w:w="8330" w:type="dxa"/>
        <w:jc w:val="left"/>
        <w:tblInd w:w="9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456"/>
        <w:gridCol w:w="454"/>
        <w:gridCol w:w="454"/>
        <w:gridCol w:w="457"/>
        <w:gridCol w:w="461"/>
        <w:gridCol w:w="454"/>
        <w:gridCol w:w="459"/>
        <w:gridCol w:w="339"/>
        <w:gridCol w:w="348"/>
        <w:gridCol w:w="454"/>
        <w:gridCol w:w="454"/>
        <w:gridCol w:w="464"/>
        <w:gridCol w:w="512"/>
        <w:gridCol w:w="564"/>
        <w:gridCol w:w="567"/>
      </w:tblGrid>
      <w:tr>
        <w:trPr/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Занятое место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очков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autoSpaceDE w:val="false"/>
        <w:spacing w:lineRule="auto" w:line="240" w:before="0" w:after="0"/>
        <w:ind w:left="56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Итоговые места в многоэтапном Соревновании  определяются по сумме набранных на  3 этапах очков </w:t>
      </w:r>
      <w:r>
        <w:rPr>
          <w:rFonts w:cs="Times New Roman" w:ascii="Times New Roman" w:hAnsi="Times New Roman"/>
          <w:sz w:val="24"/>
          <w:szCs w:val="24"/>
        </w:rPr>
        <w:t>При равенстве результатов - согласно лучшим результатам в отдельных этапах многоэтапного соревнования (по количеству побед, при новом равенстве согласно количеству вторых мест, далее третьих и т.д.), в случае дальнейшего равенства  – по результату в последней гонке.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VIII</w:t>
      </w:r>
      <w:r>
        <w:rPr>
          <w:rFonts w:cs="Times New Roman" w:ascii="Times New Roman" w:hAnsi="Times New Roman"/>
          <w:sz w:val="28"/>
          <w:szCs w:val="28"/>
        </w:rPr>
        <w:t>. НАГРАЖДЕНИЕ ПОБЕДИТЕЛЕЙ И ПРИЗЕРОВ.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8.1. Победители и призеры этапов награждаются кубками и дипломами.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8.2.Пилоту, в своей зачетной группе, набравшему по итогам  Первенства Нижегородской Области наибольшее число очков, присваивается звание «Победитель Первенства Нижегородской Области 2023 года по кольцевым гонкам ». Водители, занявшие 2-е и 3-е места, именуются серебряный и бронзовый призёры Первенства.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IX</w:t>
      </w:r>
      <w:r>
        <w:rPr>
          <w:rFonts w:cs="Times New Roman" w:ascii="Times New Roman" w:hAnsi="Times New Roman"/>
          <w:sz w:val="28"/>
          <w:szCs w:val="28"/>
        </w:rPr>
        <w:t>. УСЛОВИЯ ФИНАНСИРОВАНИЯ.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АСК «Нижегородское кольцо» несёт расходы, связанные с организацией и проведением этапов  соревнования, награждением победителей и призеров.</w:t>
      </w:r>
    </w:p>
    <w:p>
      <w:pPr>
        <w:pStyle w:val="Style20"/>
        <w:spacing w:lineRule="auto" w:line="276" w:before="0" w:after="0"/>
        <w:ind w:left="0" w:hanging="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>Размер и порядок оплаты стартовых взносов указан на официальном сайте организатора соревнований.</w:t>
      </w:r>
    </w:p>
    <w:p>
      <w:pPr>
        <w:pStyle w:val="Style20"/>
        <w:spacing w:lineRule="auto" w:line="276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Расходы по командированию (проезд, питание, размещение) участников и тренеров обеспечивают командирующие организации.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средства от заявочных и стартовых взносов идут на организационные расходы по проведению соревнований.</w:t>
      </w:r>
    </w:p>
    <w:p>
      <w:pPr>
        <w:pStyle w:val="Normal"/>
        <w:autoSpaceDE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>. ДОПОЛНИТЕЛЬНЫЕУСЛОВИЯ .</w:t>
      </w:r>
    </w:p>
    <w:p>
      <w:pPr>
        <w:pStyle w:val="Normal"/>
        <w:autoSpaceDE w:val="false"/>
        <w:spacing w:lineRule="auto" w:line="240" w:before="0" w:after="0"/>
        <w:ind w:left="142" w:hanging="0"/>
        <w:jc w:val="center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ind w:left="8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ПРОТЕСТЫ, АППЕЛЯЦИИ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Каждый протест подается в соответствии с требованиями Главы 3 СК РАФ и сопровождается денежным взносом, (размер взноса указывается в частном регламенте этапа).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протест предусматривает проверку соответствия техническим требованиям нескольких участвующих в данном соревновании автомобилей, то протест подается против каждого автомобиля и сумма денежного взноса, сопровождающего протест, умножается на количество «опротестованных» автомобилей. В случае, когда для рассмотрения протеста требуется осмотр или демонтаж частей автомобиля, протестующий должен внести в виде технического залога сумму, необходимую для проведения проверок и последующего восстановления опротестованного агрегата(ов). Величину технического залога определяет Технический комиссар, как правило, на основании дилерских расценок по опротестованному автомобилю. В случае отклонения протеста технический залог передается опротестованной стороне, в случае удовлетворения – возвращается протестующей стороне</w:t>
      </w:r>
      <w:r>
        <w:rPr/>
        <w:t>.</w:t>
      </w:r>
      <w:r>
        <w:rPr>
          <w:rFonts w:cs="Times New Roman" w:ascii="Times New Roman" w:hAnsi="Times New Roman"/>
          <w:sz w:val="24"/>
          <w:szCs w:val="24"/>
        </w:rPr>
        <w:t xml:space="preserve"> Протест не может быть подан против автомобиля «в целом». Должны быть указаны конкретные параметры опротестованного автомобиля, подлежащие проверке по протесту. Отдельный протест должен подаваться на каждый подвергающийся протесту агрегат автомобиля.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своего несогласия с решением, принятым Коллегией Спортивных Комиссаров, Участник имеет право подать Апелляцию в РАФ. Порядок подачи Апелляции определяется Главой 3 СК РАФ.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8"/>
        </w:numPr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АККРЕДИТАЦИЯ </w:t>
      </w:r>
      <w:r>
        <w:rPr>
          <w:rFonts w:cs="Times New Roman" w:ascii="Times New Roman" w:hAnsi="Times New Roman"/>
          <w:b/>
          <w:bCs/>
          <w:sz w:val="24"/>
          <w:szCs w:val="24"/>
        </w:rPr>
        <w:t>СРЕДСТВ МАССОВОЙ ИНФОРМАЦИИ</w:t>
      </w: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Аккредитация средств массовой информации и их представителей на все этапы соревнования проводится Организатором.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Представители средств массовой информации допускаются на Трассу только после прохождения инструктажа по технике безопасности.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righ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Организатор, 2023</w:t>
      </w:r>
      <w:r>
        <w:br w:type="page"/>
      </w:r>
    </w:p>
    <w:p>
      <w:pPr>
        <w:pStyle w:val="Default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autoSpaceDE w:val="false"/>
        <w:spacing w:lineRule="auto" w:line="240" w:before="0" w:after="0"/>
        <w:rPr/>
      </w:pPr>
      <w:r>
        <w:rPr/>
        <w:t>Приложение 2</w:t>
      </w:r>
    </w:p>
    <w:p>
      <w:pPr>
        <w:pStyle w:val="Normal"/>
        <w:spacing w:before="0" w:after="0"/>
        <w:rPr>
          <w:vanish/>
        </w:rPr>
      </w:pPr>
      <w:r>
        <w:rPr>
          <w:vanish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6130925" cy="20955"/>
                <wp:effectExtent l="0" t="0" r="0" b="0"/>
                <wp:wrapSquare wrapText="bothSides"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209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55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15"/>
                              <w:gridCol w:w="1946"/>
                              <w:gridCol w:w="1594"/>
                            </w:tblGrid>
                            <w:tr>
                              <w:trPr>
                                <w:trHeight w:val="413" w:hRule="atLeast"/>
                                <w:cantSplit w:val="true"/>
                              </w:trPr>
                              <w:tc>
                                <w:tcPr>
                                  <w:tcW w:w="611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Первенство Нижегородской области по автомобильным кольцевым гонкам серии NLS  Юниор 2023 г.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bCs/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____ЭТАП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  <w:t>зачетная группа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  <w:t>стартовый 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" w:hRule="atLeast"/>
                                <w:cantSplit w:val="true"/>
                              </w:trPr>
                              <w:tc>
                                <w:tcPr>
                                  <w:tcW w:w="611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75pt;height:1.65pt;mso-wrap-distance-left:9pt;mso-wrap-distance-right:9pt;mso-wrap-distance-top:0pt;mso-wrap-distance-bottom:0pt;margin-top:12.85pt;mso-position-vertical-relative:text;margin-left:0pt;mso-position-horizontal:center;mso-position-horizontal-relative:margin">
                <v:fill opacity="0f"/>
                <v:textbox inset="0in,0in,0in,0in">
                  <w:txbxContent>
                    <w:tbl>
                      <w:tblPr>
                        <w:tblW w:w="9655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15"/>
                        <w:gridCol w:w="1946"/>
                        <w:gridCol w:w="1594"/>
                      </w:tblGrid>
                      <w:tr>
                        <w:trPr>
                          <w:trHeight w:val="413" w:hRule="atLeast"/>
                          <w:cantSplit w:val="true"/>
                        </w:trPr>
                        <w:tc>
                          <w:tcPr>
                            <w:tcW w:w="611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b/>
                                <w:bCs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Первенство Нижегородской области по автомобильным кольцевым гонкам серии NLS  Юниор 2023 г.</w:t>
                            </w:r>
                          </w:p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bCs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____ЭТАП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top w:val="single" w:sz="4" w:space="0" w:color="000000"/>
                              <w:left w:val="doub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зачетная группа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стартовый №</w:t>
                            </w:r>
                          </w:p>
                        </w:tc>
                      </w:tr>
                      <w:tr>
                        <w:trPr>
                          <w:trHeight w:val="71" w:hRule="atLeast"/>
                          <w:cantSplit w:val="true"/>
                        </w:trPr>
                        <w:tc>
                          <w:tcPr>
                            <w:tcW w:w="611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top w:val="single" w:sz="4" w:space="0" w:color="000000"/>
                              <w:left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0173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32"/>
        <w:gridCol w:w="117"/>
        <w:gridCol w:w="848"/>
        <w:gridCol w:w="811"/>
        <w:gridCol w:w="66"/>
        <w:gridCol w:w="538"/>
        <w:gridCol w:w="114"/>
        <w:gridCol w:w="456"/>
        <w:gridCol w:w="86"/>
        <w:gridCol w:w="198"/>
        <w:gridCol w:w="737"/>
        <w:gridCol w:w="851"/>
        <w:gridCol w:w="680"/>
        <w:gridCol w:w="57"/>
        <w:gridCol w:w="227"/>
        <w:gridCol w:w="595"/>
        <w:gridCol w:w="284"/>
        <w:gridCol w:w="540"/>
        <w:gridCol w:w="281"/>
        <w:gridCol w:w="415"/>
        <w:gridCol w:w="152"/>
        <w:gridCol w:w="285"/>
        <w:gridCol w:w="570"/>
      </w:tblGrid>
      <w:tr>
        <w:trPr>
          <w:trHeight w:val="572" w:hRule="atLeast"/>
          <w:cantSplit w:val="true"/>
        </w:trPr>
        <w:tc>
          <w:tcPr>
            <w:tcW w:w="533" w:type="dxa"/>
            <w:tcBorders/>
          </w:tcPr>
          <w:p>
            <w:pPr>
              <w:pStyle w:val="TableHeading"/>
              <w:suppressLineNumbers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64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Heading1"/>
              <w:spacing w:before="24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ЗАЯВКА НА УЧАСТИЕ</w:t>
            </w:r>
          </w:p>
        </w:tc>
      </w:tr>
      <w:tr>
        <w:trPr>
          <w:trHeight w:val="52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УЧАСТНИК (ЗАЯВИТЕЛЬ)</w:t>
            </w:r>
          </w:p>
        </w:tc>
        <w:tc>
          <w:tcPr>
            <w:tcW w:w="4937" w:type="dxa"/>
            <w:gridSpan w:val="12"/>
            <w:tcBorders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</w:t>
            </w:r>
          </w:p>
        </w:tc>
      </w:tr>
      <w:tr>
        <w:trPr>
          <w:trHeight w:val="43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Наименование: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Модель: </w:t>
            </w:r>
          </w:p>
        </w:tc>
      </w:tr>
      <w:tr>
        <w:trPr>
          <w:trHeight w:val="402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(ФИА, РАФ) №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Рабочий объем двигателя: </w:t>
            </w:r>
          </w:p>
        </w:tc>
      </w:tr>
      <w:tr>
        <w:trPr>
          <w:trHeight w:val="44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129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Группа/класс </w:t>
            </w:r>
          </w:p>
        </w:tc>
      </w:tr>
      <w:tr>
        <w:trPr>
          <w:trHeight w:val="55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Подготовка автомобиля (ненужное зачеркнуть)</w:t>
            </w:r>
          </w:p>
        </w:tc>
        <w:tc>
          <w:tcPr>
            <w:tcW w:w="16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 регистрация</w:t>
            </w:r>
          </w:p>
        </w:tc>
        <w:tc>
          <w:tcPr>
            <w:tcW w:w="17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Действующие КиТТ</w:t>
            </w:r>
          </w:p>
        </w:tc>
      </w:tr>
      <w:tr>
        <w:trPr>
          <w:trHeight w:val="41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Ул.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  <w:tc>
          <w:tcPr>
            <w:tcW w:w="1588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6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3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(Код) Телефон: </w:t>
            </w:r>
          </w:p>
        </w:tc>
        <w:tc>
          <w:tcPr>
            <w:tcW w:w="351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Согласие на размещение рекламы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Heading1"/>
              <w:spacing w:before="24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ВОДИТЕЛЬ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МЕХАНИК</w:t>
            </w:r>
          </w:p>
        </w:tc>
      </w:tr>
      <w:tr>
        <w:trPr>
          <w:trHeight w:val="301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Фамилия: </w:t>
            </w:r>
          </w:p>
        </w:tc>
      </w:tr>
      <w:tr>
        <w:trPr>
          <w:trHeight w:val="420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Имя: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Имя: </w:t>
            </w:r>
          </w:p>
        </w:tc>
      </w:tr>
      <w:tr>
        <w:trPr>
          <w:trHeight w:val="42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Гражданство: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Гражданство: </w:t>
            </w:r>
          </w:p>
        </w:tc>
      </w:tr>
      <w:tr>
        <w:trPr>
          <w:trHeight w:val="41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2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Спортивное звание: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2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Спорт. звание: </w:t>
            </w:r>
          </w:p>
        </w:tc>
      </w:tr>
      <w:tr>
        <w:trPr>
          <w:trHeight w:val="424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129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</w:tr>
      <w:tr>
        <w:trPr>
          <w:trHeight w:val="416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</w:tr>
      <w:tr>
        <w:trPr>
          <w:trHeight w:val="43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ул. 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</w:tr>
      <w:tr>
        <w:trPr>
          <w:trHeight w:val="42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Телефон: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Телефон: </w:t>
            </w:r>
          </w:p>
        </w:tc>
      </w:tr>
      <w:tr>
        <w:trPr>
          <w:trHeight w:val="420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водителя (ФИА, РАФ) №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(ФИА, РАФ)</w:t>
            </w:r>
          </w:p>
        </w:tc>
      </w:tr>
      <w:tr>
        <w:trPr>
          <w:trHeight w:val="426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Подпись:</w:t>
            </w:r>
          </w:p>
        </w:tc>
      </w:tr>
      <w:tr>
        <w:trPr/>
        <w:tc>
          <w:tcPr>
            <w:tcW w:w="2230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Дата________________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7943" w:type="dxa"/>
            <w:gridSpan w:val="20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30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gridSpan w:val="3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(фамилия)</w:t>
            </w:r>
          </w:p>
        </w:tc>
        <w:tc>
          <w:tcPr>
            <w:tcW w:w="284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gridSpan w:val="7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ПРИЛОЖЕНИЕ 3</w:t>
      </w:r>
    </w:p>
    <w:p>
      <w:pPr>
        <w:pStyle w:val="Normal"/>
        <w:autoSpaceDE w:val="false"/>
        <w:spacing w:lineRule="auto" w:line="240" w:before="0" w:after="0"/>
        <w:jc w:val="center"/>
        <w:rPr/>
      </w:pPr>
      <w:r>
        <w:rPr/>
        <w:t>Шины.</w:t>
      </w:r>
    </w:p>
    <w:tbl>
      <w:tblPr>
        <w:tblW w:w="1068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2670"/>
        <w:gridCol w:w="2671"/>
        <w:gridCol w:w="2673"/>
      </w:tblGrid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Зачётная группа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Марка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Типоразмер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Размер</w:t>
            </w:r>
          </w:p>
        </w:tc>
      </w:tr>
      <w:tr>
        <w:trPr>
          <w:trHeight w:val="510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S 1600</w:t>
            </w:r>
            <w:r>
              <w:rPr>
                <w:b/>
                <w:sz w:val="28"/>
                <w:szCs w:val="28"/>
              </w:rPr>
              <w:t>» Юниор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Cordiant COMFORT 2 Cordiant Sport 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Nordman SX2.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R14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185/60</w:t>
            </w:r>
          </w:p>
        </w:tc>
      </w:tr>
    </w:tbl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>ПРИЛОЖЕНИЕ 4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Топливо.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Во всех зачётных группах в качестве топлива должен использоваться товарный неэтилированный бензин с октановым числом, определенным исследовательским методом, </w:t>
      </w:r>
      <w:r>
        <w:rPr>
          <w:rFonts w:cs="Calibri" w:ascii="Calibri" w:hAnsi="Calibri"/>
          <w:color w:val="000000"/>
          <w:sz w:val="22"/>
          <w:szCs w:val="22"/>
          <w:highlight w:val="yellow"/>
        </w:rPr>
        <w:t>не выше 100</w:t>
      </w:r>
      <w:r>
        <w:rPr>
          <w:rFonts w:cs="Calibri" w:ascii="Calibri" w:hAnsi="Calibri"/>
          <w:color w:val="000000"/>
          <w:sz w:val="22"/>
          <w:szCs w:val="22"/>
        </w:rPr>
        <w:t xml:space="preserve"> . </w:t>
      </w:r>
    </w:p>
    <w:p>
      <w:pPr>
        <w:pStyle w:val="Style19"/>
        <w:rPr>
          <w:rFonts w:ascii="Calibri" w:hAnsi="Calibri" w:cs="Calibri"/>
          <w:b/>
          <w:b/>
          <w:i/>
          <w:i/>
          <w:color w:val="000000"/>
          <w:sz w:val="22"/>
          <w:szCs w:val="22"/>
        </w:rPr>
      </w:pPr>
      <w:r>
        <w:rPr>
          <w:rFonts w:cs="Calibri" w:ascii="Calibri" w:hAnsi="Calibri"/>
          <w:b/>
          <w:i/>
          <w:color w:val="000000"/>
          <w:sz w:val="22"/>
          <w:szCs w:val="22"/>
        </w:rPr>
        <w:t>В соревнованиях может быть предусмотрена заправка всех автомобилей единым топливом. В этом случае:</w:t>
      </w:r>
    </w:p>
    <w:p>
      <w:pPr>
        <w:pStyle w:val="Style19"/>
        <w:rPr>
          <w:rFonts w:ascii="Calibri" w:hAnsi="Calibri" w:cs="Calibri"/>
          <w:b/>
          <w:b/>
          <w:i/>
          <w:i/>
          <w:color w:val="000000"/>
          <w:sz w:val="22"/>
          <w:szCs w:val="22"/>
        </w:rPr>
      </w:pPr>
      <w:r>
        <w:rPr>
          <w:rFonts w:cs="Calibri" w:ascii="Calibri" w:hAnsi="Calibri"/>
          <w:b/>
          <w:i/>
          <w:color w:val="000000"/>
          <w:sz w:val="22"/>
          <w:szCs w:val="22"/>
        </w:rPr>
        <w:t>Качество бензина должно удостоверяться соответствующим сертификатом.</w:t>
      </w:r>
    </w:p>
    <w:p>
      <w:pPr>
        <w:pStyle w:val="Style19"/>
        <w:rPr>
          <w:rFonts w:ascii="Calibri" w:hAnsi="Calibri" w:cs="Calibri"/>
          <w:b/>
          <w:b/>
          <w:i/>
          <w:i/>
          <w:color w:val="000000"/>
          <w:sz w:val="22"/>
          <w:szCs w:val="22"/>
        </w:rPr>
      </w:pPr>
      <w:r>
        <w:rPr>
          <w:rFonts w:cs="Calibri" w:ascii="Calibri" w:hAnsi="Calibri"/>
          <w:b/>
          <w:i/>
          <w:color w:val="000000"/>
          <w:sz w:val="22"/>
          <w:szCs w:val="22"/>
        </w:rPr>
        <w:t>Контроль топлива осуществляется путем сравнительного анализа проб с образцами поставляемого бензина.</w:t>
      </w:r>
    </w:p>
    <w:p>
      <w:pPr>
        <w:pStyle w:val="Normal"/>
        <w:autoSpaceDE w:val="false"/>
        <w:spacing w:lineRule="auto" w:line="240" w:before="0" w:after="0"/>
        <w:rPr>
          <w:rFonts w:ascii="Calibri" w:hAnsi="Calibri" w:cs="Calibri"/>
          <w:b/>
          <w:b/>
          <w:i/>
          <w:i/>
          <w:color w:val="000000"/>
          <w:sz w:val="22"/>
          <w:szCs w:val="22"/>
        </w:rPr>
      </w:pPr>
      <w:r>
        <w:rPr>
          <w:rFonts w:cs="Calibri"/>
          <w:b/>
          <w:i/>
          <w:color w:val="000000"/>
          <w:sz w:val="22"/>
          <w:szCs w:val="22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720" w:right="720" w:gutter="0" w:header="708" w:top="764" w:footer="708" w:bottom="7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Arial-BoldItalicMT">
    <w:altName w:val="Times New Roman"/>
    <w:charset w:val="cc"/>
    <w:family w:val="swiss"/>
    <w:pitch w:val="default"/>
  </w:font>
  <w:font w:name="Cambr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autoSpaceDE w:val="false"/>
      <w:spacing w:lineRule="auto" w:line="240" w:before="0" w:after="0"/>
      <w:jc w:val="center"/>
      <w:rPr>
        <w:b/>
        <w:b/>
        <w:bCs/>
        <w:i/>
        <w:i/>
        <w:iCs/>
        <w:color w:val="000000"/>
        <w:sz w:val="16"/>
        <w:szCs w:val="16"/>
      </w:rPr>
    </w:pPr>
    <w:r>
      <w:rPr>
        <w:i/>
        <w:iCs/>
        <w:sz w:val="16"/>
        <w:szCs w:val="16"/>
      </w:rPr>
      <w:t xml:space="preserve">Страница </w:t>
    </w:r>
    <w:r>
      <w:rPr>
        <w:b/>
        <w:bCs/>
        <w:i/>
        <w:iCs/>
        <w:sz w:val="16"/>
        <w:szCs w:val="16"/>
      </w:rPr>
      <w:fldChar w:fldCharType="begin"/>
    </w:r>
    <w:r>
      <w:rPr>
        <w:sz w:val="16"/>
        <w:i/>
        <w:b/>
        <w:szCs w:val="16"/>
        <w:iCs/>
        <w:bCs/>
      </w:rPr>
      <w:instrText xml:space="preserve"> PAGE </w:instrText>
    </w:r>
    <w:r>
      <w:rPr>
        <w:sz w:val="16"/>
        <w:i/>
        <w:b/>
        <w:szCs w:val="16"/>
        <w:iCs/>
        <w:bCs/>
      </w:rPr>
      <w:fldChar w:fldCharType="separate"/>
    </w:r>
    <w:r>
      <w:rPr>
        <w:sz w:val="16"/>
        <w:i/>
        <w:b/>
        <w:szCs w:val="16"/>
        <w:iCs/>
        <w:bCs/>
      </w:rPr>
      <w:t>11</w:t>
    </w:r>
    <w:r>
      <w:rPr>
        <w:sz w:val="16"/>
        <w:i/>
        <w:b/>
        <w:szCs w:val="16"/>
        <w:iCs/>
        <w:bCs/>
      </w:rPr>
      <w:fldChar w:fldCharType="end"/>
    </w:r>
    <w:r>
      <w:rPr>
        <w:i/>
        <w:iCs/>
        <w:sz w:val="16"/>
        <w:szCs w:val="16"/>
      </w:rPr>
      <w:t xml:space="preserve"> из </w:t>
    </w:r>
    <w:r>
      <w:rPr>
        <w:b/>
        <w:bCs/>
        <w:i/>
        <w:iCs/>
        <w:sz w:val="16"/>
        <w:szCs w:val="16"/>
      </w:rPr>
      <w:fldChar w:fldCharType="begin"/>
    </w:r>
    <w:r>
      <w:rPr>
        <w:sz w:val="16"/>
        <w:i/>
        <w:b/>
        <w:szCs w:val="16"/>
        <w:iCs/>
        <w:bCs/>
      </w:rPr>
      <w:instrText xml:space="preserve"> NUMPAGES \* ARABIC </w:instrText>
    </w:r>
    <w:r>
      <w:rPr>
        <w:sz w:val="16"/>
        <w:i/>
        <w:b/>
        <w:szCs w:val="16"/>
        <w:iCs/>
        <w:bCs/>
      </w:rPr>
      <w:fldChar w:fldCharType="separate"/>
    </w:r>
    <w:r>
      <w:rPr>
        <w:sz w:val="16"/>
        <w:i/>
        <w:b/>
        <w:szCs w:val="16"/>
        <w:iCs/>
        <w:bCs/>
      </w:rPr>
      <w:t>11</w:t>
    </w:r>
    <w:r>
      <w:rPr>
        <w:sz w:val="16"/>
        <w:i/>
        <w:b/>
        <w:szCs w:val="16"/>
        <w:iCs/>
        <w:bCs/>
      </w:rPr>
      <w:fldChar w:fldCharType="end"/>
    </w:r>
  </w:p>
  <w:p>
    <w:pPr>
      <w:pStyle w:val="Normal"/>
      <w:autoSpaceDE w:val="false"/>
      <w:spacing w:lineRule="auto" w:line="240" w:before="0" w:after="0"/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</w:r>
  </w:p>
  <w:p>
    <w:pPr>
      <w:pStyle w:val="Footer"/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/>
      </w:pBdr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  <w:t>АСК «Нижегородское кольцо»                                                                              Положение  Первенство</w:t>
    </w:r>
  </w:p>
  <w:p>
    <w:pPr>
      <w:pStyle w:val="Header"/>
      <w:pBdr>
        <w:bottom w:val="thickThinSmallGap" w:sz="24" w:space="1" w:color="622423"/>
      </w:pBdr>
      <w:rPr>
        <w:rFonts w:ascii="Cambria" w:hAnsi="Cambria" w:cs="Cambria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  <w:t>РФСОО «ФРАМСНО»                                                                                                                                                 Нижегородской области 2023 года по АКГ</w:t>
    </w:r>
  </w:p>
  <w:p>
    <w:pPr>
      <w:pStyle w:val="Header"/>
      <w:rPr>
        <w:rFonts w:ascii="Cambria" w:hAnsi="Cambria" w:cs="Cambria"/>
        <w:sz w:val="16"/>
        <w:szCs w:val="16"/>
      </w:rPr>
    </w:pPr>
    <w:r>
      <w:rPr>
        <w:rFonts w:cs="Cambria" w:ascii="Cambria" w:hAnsi="Cambria"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b/>
        <w:rFonts w:eastAsia="Arial-BoldMT;MS Minch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rFonts w:eastAsia="Arial-BoldMT;MS Mincho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/>
        <w:rFonts w:eastAsia="Arial-BoldMT;MS Minch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rFonts w:eastAsia="Arial-BoldMT;MS Mincho"/>
      </w:rPr>
    </w:lvl>
  </w:abstractNum>
  <w:abstractNum w:abstractNumId="9">
    <w:lvl w:ilvl="0">
      <w:start w:val="1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6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6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6" w:hanging="1440"/>
      </w:pPr>
      <w:rPr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>
      <w:rFonts w:eastAsia="Arial-BoldMT;MS Mincho"/>
      <w:b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b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7z1">
    <w:name w:val="WW8Num17z1"/>
    <w:qFormat/>
    <w:rPr>
      <w:rFonts w:eastAsia="Arial-BoldMT;MS Mincho"/>
      <w:b/>
    </w:rPr>
  </w:style>
  <w:style w:type="character" w:styleId="WW8Num18z0">
    <w:name w:val="WW8Num18z0"/>
    <w:qFormat/>
    <w:rPr/>
  </w:style>
  <w:style w:type="character" w:styleId="WW8Num18z1">
    <w:name w:val="WW8Num18z1"/>
    <w:qFormat/>
    <w:rPr>
      <w:rFonts w:eastAsia="Arial-BoldMT;MS Mincho"/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>
      <w:rFonts w:eastAsia="Arial-BoldMT;MS Mincho"/>
      <w:b/>
    </w:rPr>
  </w:style>
  <w:style w:type="character" w:styleId="WW8Num23z0">
    <w:name w:val="WW8Num23z0"/>
    <w:qFormat/>
    <w:rPr/>
  </w:style>
  <w:style w:type="character" w:styleId="WW8Num23z1">
    <w:name w:val="WW8Num23z1"/>
    <w:qFormat/>
    <w:rPr>
      <w:rFonts w:eastAsia="Arial-BoldMT;MS Mincho"/>
      <w:b/>
    </w:rPr>
  </w:style>
  <w:style w:type="character" w:styleId="WW8Num24z0">
    <w:name w:val="WW8Num24z0"/>
    <w:qFormat/>
    <w:rPr/>
  </w:style>
  <w:style w:type="character" w:styleId="WW8Num24z1">
    <w:name w:val="WW8Num24z1"/>
    <w:qFormat/>
    <w:rPr>
      <w:rFonts w:eastAsia="Arial-BoldMT;MS Mincho"/>
      <w:b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>
      <w:rFonts w:eastAsia="Arial-BoldMT;MS Mincho"/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>
      <w:rFonts w:eastAsia="Arial-BoldMT;MS Mincho"/>
      <w:b/>
    </w:rPr>
  </w:style>
  <w:style w:type="character" w:styleId="WW8Num29z0">
    <w:name w:val="WW8Num29z0"/>
    <w:qFormat/>
    <w:rPr/>
  </w:style>
  <w:style w:type="character" w:styleId="WW8Num29z1">
    <w:name w:val="WW8Num29z1"/>
    <w:qFormat/>
    <w:rPr>
      <w:b/>
    </w:rPr>
  </w:style>
  <w:style w:type="character" w:styleId="WW8Num30z0">
    <w:name w:val="WW8Num30z0"/>
    <w:qFormat/>
    <w:rPr>
      <w:rFonts w:ascii="Symbol" w:hAnsi="Symbol" w:eastAsia="Calibri" w:cs="Times New Roman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b/>
    </w:rPr>
  </w:style>
  <w:style w:type="character" w:styleId="WW8Num32z0">
    <w:name w:val="WW8Num32z0"/>
    <w:qFormat/>
    <w:rPr/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cs="Times New Roman"/>
    </w:rPr>
  </w:style>
  <w:style w:type="character" w:styleId="Style15">
    <w:name w:val="Нижний колонтитул Знак"/>
    <w:qFormat/>
    <w:rPr>
      <w:rFonts w:cs="Times New Roman"/>
    </w:rPr>
  </w:style>
  <w:style w:type="character" w:styleId="Style16">
    <w:name w:val="Текст выноски Знак"/>
    <w:qFormat/>
    <w:rPr>
      <w:rFonts w:ascii="Tahoma" w:hAnsi="Tahoma" w:cs="Times New Roman"/>
      <w:sz w:val="16"/>
    </w:rPr>
  </w:style>
  <w:style w:type="character" w:styleId="InternetLink">
    <w:name w:val="Hyperlink"/>
    <w:rPr>
      <w:rFonts w:cs="Times New Roman"/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qFormat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Inplace">
    <w:name w:val="inpla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17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Style18">
    <w:name w:val="Без интервала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Calibri" w:hAnsi="Calibri" w:eastAsia="Calibri" w:cs="Calibri"/>
      <w:color w:val="000000"/>
      <w:sz w:val="24"/>
      <w:szCs w:val="24"/>
      <w:lang w:val="ru-RU" w:bidi="ar-SA" w:eastAsia="zh-CN"/>
    </w:rPr>
  </w:style>
  <w:style w:type="paragraph" w:styleId="Style19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Абзац списка"/>
    <w:basedOn w:val="Normal"/>
    <w:qFormat/>
    <w:pPr>
      <w:spacing w:lineRule="auto" w:line="256" w:before="0" w:after="160"/>
      <w:ind w:left="720" w:hanging="0"/>
      <w:contextualSpacing/>
    </w:pPr>
    <w:rPr>
      <w:rFonts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://www.nring.ru/" TargetMode="External"/><Relationship Id="rId6" Type="http://schemas.openxmlformats.org/officeDocument/2006/relationships/hyperlink" Target="mailto:info@nring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2023-08-02T14:42:00Z</dcterms:created>
  <dc:creator>Гусев Дмитрий Сергеевич</dc:creator>
  <dc:description/>
  <cp:keywords/>
  <dc:language>en-US</dc:language>
  <cp:lastModifiedBy>Гусев Дмитрий Сергеевич</cp:lastModifiedBy>
  <cp:lastPrinted>2021-03-30T15:53:00Z</cp:lastPrinted>
  <dcterms:modified xsi:type="dcterms:W3CDTF">2023-08-03T14:21:00Z</dcterms:modified>
  <cp:revision>4</cp:revision>
  <dc:subject/>
  <dc:title>Регламент NLS 2018</dc:title>
</cp:coreProperties>
</file>