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2.jpeg" ContentType="image/jpeg"/>
  <Override PartName="/word/media/image3.jpeg" ContentType="image/jpeg"/>
  <Override PartName="/word/media/image1.jpeg" ContentType="image/jpeg"/>
  <Override PartName="/word/footer2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Российская Автомобильная Федерация</w:t>
      </w:r>
    </w:p>
    <w:p>
      <w:pPr>
        <w:pStyle w:val="Style18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Министерство спорта Нижегородской Области</w:t>
      </w:r>
    </w:p>
    <w:p>
      <w:pPr>
        <w:pStyle w:val="Style18"/>
        <w:jc w:val="center"/>
        <w:rPr>
          <w:rFonts w:ascii="Times New Roman" w:hAnsi="Times New Roman" w:eastAsia="SimSun;宋体" w:cs="Times New Roman"/>
          <w:b/>
          <w:b/>
          <w:bCs/>
          <w:sz w:val="28"/>
          <w:szCs w:val="28"/>
        </w:rPr>
      </w:pPr>
      <w:r>
        <w:rPr>
          <w:rFonts w:eastAsia="SimSun;宋体" w:cs="Times New Roman" w:ascii="Times New Roman" w:hAnsi="Times New Roman"/>
          <w:b/>
          <w:bCs/>
          <w:sz w:val="28"/>
          <w:szCs w:val="28"/>
        </w:rPr>
        <w:t>Региональная физкультурно-спортивная общественная организация «ФРАМСНО»</w:t>
      </w:r>
    </w:p>
    <w:p>
      <w:pPr>
        <w:pStyle w:val="Style18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Автомобильный Спортивный Комплекс «Нижегородское кольцо»</w:t>
      </w:r>
    </w:p>
    <w:p>
      <w:pPr>
        <w:pStyle w:val="Style1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1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-284" w:right="-192" w:hanging="0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2370455" cy="8470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2" r="-8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en-US"/>
        </w:rPr>
        <w:t xml:space="preserve">       </w:t>
      </w:r>
      <w:r>
        <w:rPr>
          <w:lang w:val="en-US" w:eastAsia="en-US"/>
        </w:rPr>
        <w:drawing>
          <wp:inline distT="0" distB="0" distL="0" distR="0">
            <wp:extent cx="1561465" cy="1037590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8" r="-2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en-US"/>
        </w:rPr>
        <w:t xml:space="preserve">      </w:t>
      </w:r>
      <w:r>
        <w:rPr>
          <w:lang w:val="en-US" w:eastAsia="en-US"/>
        </w:rPr>
        <w:drawing>
          <wp:inline distT="0" distB="0" distL="0" distR="0">
            <wp:extent cx="2275840" cy="1113155"/>
            <wp:effectExtent l="0" t="0" r="0" b="0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16" r="-7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7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04"/>
        <w:gridCol w:w="3597"/>
      </w:tblGrid>
      <w:tr>
        <w:trPr>
          <w:trHeight w:val="2694" w:hRule="atLeast"/>
          <w:cantSplit w:val="true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УТВЕРЖДАЮ: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Генеральный директор ООО АСК «Нижегородское кольцо»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___________Пигулевский С.В.</w:t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СОГЛАСОВАНО: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Президент: </w:t>
            </w:r>
          </w:p>
          <w:p>
            <w:pPr>
              <w:pStyle w:val="Normal"/>
              <w:spacing w:before="0" w:after="0"/>
              <w:ind w:left="142" w:hanging="142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РФСОО «ФРАМСНО».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г. Нижний Новгород </w:t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_________Пигулевский С.В.</w:t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СОГЛАСОВАНО: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Министр спорта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Нижегородской области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______________А.А. Ефремов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«___»________________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2021 г.</w:t>
            </w:r>
          </w:p>
        </w:tc>
      </w:tr>
    </w:tbl>
    <w:p>
      <w:pPr>
        <w:pStyle w:val="Normal"/>
        <w:jc w:val="center"/>
        <w:rPr>
          <w:b/>
          <w:b/>
          <w:color w:val="000000"/>
          <w:sz w:val="68"/>
          <w:szCs w:val="68"/>
        </w:rPr>
      </w:pPr>
      <w:r>
        <w:rPr>
          <w:b/>
          <w:color w:val="000000"/>
          <w:sz w:val="68"/>
          <w:szCs w:val="6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56"/>
          <w:szCs w:val="56"/>
        </w:rPr>
      </w:pPr>
      <w:r>
        <w:rPr>
          <w:rFonts w:cs="Times New Roman" w:ascii="Times New Roman" w:hAnsi="Times New Roman"/>
          <w:b/>
          <w:color w:val="000000"/>
          <w:sz w:val="56"/>
          <w:szCs w:val="56"/>
        </w:rPr>
        <w:t>ПОЛОЖЕНИЕ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800000"/>
          <w:sz w:val="44"/>
          <w:szCs w:val="44"/>
        </w:rPr>
        <w:t>Чемпионат и первенство Нижегородской области по автомобильным кольцевым гонкам.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800000"/>
          <w:sz w:val="44"/>
          <w:szCs w:val="44"/>
        </w:rPr>
      </w:pPr>
      <w:r>
        <w:rPr>
          <w:rFonts w:cs="Times New Roman" w:ascii="Times New Roman" w:hAnsi="Times New Roman"/>
          <w:b/>
          <w:color w:val="800000"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виду спорта :  «Автомобильный» 166 000 55 11Я</w:t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tabs>
          <w:tab w:val="clear" w:pos="708"/>
          <w:tab w:val="left" w:pos="5940" w:leader="none"/>
        </w:tabs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b/>
          <w:color w:val="000000"/>
        </w:rPr>
        <w:t>Нижний Новгород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2021 г.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color w:val="000000"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Arial-BoldMT;MS Mincho" w:cs="Times New Roman"/>
          <w:b/>
          <w:b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Arial-BoldMT;MS Mincho" w:cs="Times New Roman"/>
          <w:b/>
          <w:b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sz w:val="28"/>
          <w:szCs w:val="28"/>
        </w:rPr>
        <w:t>ПОЛОЖЕНИЕ ЧЕМПИОНАТА НИЖЕГОРОДСКОЙ ОБЛАСТИ 2021 ГОДА ПО АВТОМОБИЛЬНЫМ КОЛЬЦЕВЫМ ГОНКАМ.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b/>
        </w:rPr>
        <w:t>ОБЩИЕ ПОЛОЖЕНИЯ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</w:rPr>
        <w:t>РУКОВОДСТВО ПРОВЕДЕНИЕМ СПОРТИВНЫХ СОРЕВНОВАНИЙ</w:t>
      </w: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b/>
        </w:rPr>
        <w:t>ПРОГРАММА СОРЕВНОВАНИЙ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b/>
        </w:rPr>
        <w:t>ТРЕБОВАНИЯ К УЧАСТНИКАМ И УСЛОВИЯ ИХ ДОПУСКА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b/>
        </w:rPr>
        <w:t>ЗАЯВКИ НА УЧАСТИЕ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b/>
        </w:rPr>
        <w:t>УСЛОВИЯ ПОДВЕДЕНИЯ ИТОГОВ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8. </w:t>
      </w:r>
      <w:r>
        <w:rPr>
          <w:rFonts w:cs="Times New Roman" w:ascii="Times New Roman" w:hAnsi="Times New Roman"/>
          <w:b/>
        </w:rPr>
        <w:t>НАГРАЖДЕНИЕ ПОБЕДИТЕЛЕЙ И ПРИЗЕРОВ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9. </w:t>
      </w:r>
      <w:r>
        <w:rPr>
          <w:rFonts w:cs="Times New Roman" w:ascii="Times New Roman" w:hAnsi="Times New Roman"/>
          <w:b/>
        </w:rPr>
        <w:t>УСЛОВИЯ ФИНАНСИРОВАНИЯ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10. </w:t>
      </w:r>
      <w:r>
        <w:rPr>
          <w:rFonts w:cs="Times New Roman" w:ascii="Times New Roman" w:hAnsi="Times New Roman"/>
          <w:b/>
          <w:sz w:val="24"/>
          <w:szCs w:val="24"/>
        </w:rPr>
        <w:t>ДОПОЛНИТЕЛЬНЫЕУСЛОВИЯ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jc w:val="center"/>
        <w:rPr>
          <w:b/>
          <w:b/>
        </w:rPr>
      </w:pPr>
      <w:r>
        <w:rPr>
          <w:b/>
          <w:lang w:val="en-US"/>
        </w:rPr>
        <w:t>I</w:t>
      </w:r>
      <w:r>
        <w:rPr>
          <w:b/>
        </w:rPr>
        <w:t xml:space="preserve">. </w:t>
      </w:r>
      <w:r>
        <w:rPr>
          <w:rFonts w:cs="Times New Roman" w:ascii="Times New Roman" w:hAnsi="Times New Roman"/>
          <w:b/>
        </w:rPr>
        <w:t>ОБЩИЕ ПОЛОЖЕНИЯ</w:t>
      </w:r>
      <w:r>
        <w:rPr>
          <w:b/>
        </w:rPr>
        <w:t>.</w:t>
      </w:r>
    </w:p>
    <w:p>
      <w:pPr>
        <w:pStyle w:val="Normal"/>
        <w:spacing w:before="0" w:after="60"/>
        <w:rPr>
          <w:b/>
          <w:b/>
          <w:color w:val="000000"/>
        </w:rPr>
      </w:pPr>
      <w:r>
        <w:rPr>
          <w:b/>
          <w:color w:val="000000"/>
        </w:rPr>
        <w:t xml:space="preserve">  </w:t>
      </w:r>
    </w:p>
    <w:p>
      <w:pPr>
        <w:pStyle w:val="Style20"/>
        <w:numPr>
          <w:ilvl w:val="0"/>
          <w:numId w:val="5"/>
        </w:numPr>
        <w:spacing w:lineRule="auto" w:line="276" w:before="0" w:after="0"/>
        <w:ind w:left="0" w:firstLine="426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Областные официальные спортивные соревнования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«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Чемпионат Нижегородской области по автомобильным кольцевым гонкам серии NLS  2021 г.»</w:t>
      </w:r>
      <w:r>
        <w:rPr>
          <w:rFonts w:cs="Times New Roman" w:ascii="Times New Roman" w:hAnsi="Times New Roman"/>
          <w:sz w:val="24"/>
          <w:szCs w:val="24"/>
        </w:rPr>
        <w:t xml:space="preserve"> (далее - спортивные соревнования), включены в настоящее Положение на основании предложений Региональной Физкультурно-Спортивной Общественной Организации «Федерации Развития Автомобильного и Мотоциклетного Спорта Нижегородской Области (далее – РФСОО «ФРАМСНО»), 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11.07.2019 № 192.</w:t>
      </w:r>
    </w:p>
    <w:p>
      <w:pPr>
        <w:pStyle w:val="Normal"/>
        <w:tabs>
          <w:tab w:val="clear" w:pos="708"/>
          <w:tab w:val="right" w:pos="9072" w:leader="dot"/>
        </w:tabs>
        <w:jc w:val="both"/>
        <w:rPr/>
      </w:pPr>
      <w:r>
        <w:rPr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Спортивные соревнования проводятся в соответствии с правилами вида спорта «Автомобильный», утвержденными приказом Министерства спорта Российской Федерации.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Сроки и место проведения соревнований: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color w:val="000000"/>
        </w:rPr>
        <w:t xml:space="preserve"> </w:t>
      </w:r>
      <w:r>
        <w:rPr>
          <w:b/>
          <w:color w:val="000080"/>
        </w:rPr>
        <w:t>1 этап -  24 апреля 2021 года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>2 этап -  23 мая 2021 года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>3 этап –  4 июля 2021 года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>4 этап  -  8 августа 2021 года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  <w:t xml:space="preserve"> </w:t>
      </w:r>
      <w:r>
        <w:rPr>
          <w:b/>
          <w:color w:val="000080"/>
        </w:rPr>
        <w:t>5 этап –  26 сентября 2021 года</w:t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Normal"/>
        <w:tabs>
          <w:tab w:val="clear" w:pos="708"/>
          <w:tab w:val="right" w:pos="9214" w:leader="dot"/>
        </w:tabs>
        <w:spacing w:before="60" w:after="200"/>
        <w:rPr>
          <w:b/>
          <w:b/>
          <w:color w:val="000080"/>
        </w:rPr>
      </w:pPr>
      <w:r>
        <w:rPr>
          <w:b/>
          <w:color w:val="000080"/>
        </w:rPr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</w:p>
    <w:p>
      <w:pPr>
        <w:pStyle w:val="Style20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4.Задачами проведения спортивных соревнований являются:</w:t>
      </w:r>
    </w:p>
    <w:p>
      <w:pPr>
        <w:pStyle w:val="Style20"/>
        <w:spacing w:lineRule="auto" w:line="240" w:before="0" w:after="0"/>
        <w:ind w:left="567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выявление сильнейших спортсменов для формирования списка кандидатов в спортивные сборные команды Нижегородской области,</w:t>
      </w:r>
    </w:p>
    <w:p>
      <w:pPr>
        <w:pStyle w:val="Style20"/>
        <w:spacing w:lineRule="auto" w:line="240" w:before="0" w:after="0"/>
        <w:ind w:left="567" w:hanging="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>- отбор спортсменов в спортивные сборные команды Нижегородской области для подготовки к чемпионатам  Приволжского федерального округа, чемпионатам России, Всероссийским соревнованиям и участия в них от Нижегородской области,</w:t>
      </w:r>
    </w:p>
    <w:p>
      <w:pPr>
        <w:pStyle w:val="Style20"/>
        <w:spacing w:lineRule="auto" w:line="240" w:before="0" w:after="0"/>
        <w:ind w:left="567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развитие и популяризация автомобильного спорта на территории Нижегородской области.</w:t>
      </w:r>
    </w:p>
    <w:p>
      <w:pPr>
        <w:pStyle w:val="Normal"/>
        <w:spacing w:lineRule="auto" w:line="2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Запрещается оказывать противоправное влияние на результаты спортивных соревнований, включённых в настоящее Положение.</w:t>
      </w:r>
    </w:p>
    <w:p>
      <w:pPr>
        <w:pStyle w:val="Normal"/>
        <w:spacing w:lineRule="auto" w:line="24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№329 «О физической культуре и спорте в Российской Федерации».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>. РУКОВОДСТВО ПРОВЕДЕНИЕМ СПОРТИВНЫХ СОРЕВНОВАНИЙ.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numPr>
          <w:ilvl w:val="1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Общее руководство проведением спортивных соревнований осуществляется министерством спорта Нижегородской области и РФСОО «ФРАМСНО».</w:t>
      </w:r>
    </w:p>
    <w:p>
      <w:pPr>
        <w:pStyle w:val="Style20"/>
        <w:spacing w:lineRule="auto" w:line="240" w:before="0" w:after="0"/>
        <w:ind w:left="567" w:hanging="0"/>
        <w:contextualSpacing/>
        <w:jc w:val="both"/>
        <w:rPr>
          <w:rFonts w:ascii="Times New Roman" w:hAnsi="Times New Roman" w:cs="Times New Roman"/>
          <w:b/>
          <w:b/>
          <w:color w:val="00008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Непосредственное проведение спортивных соревнований возлагается на главную судейскую коллегию, утверждаемую РФСОО «ФРАМСНО».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>2.2  Официальные лица соревнования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Пигулевский Сергей (Председатель Оргкомитета) +79202501158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Гусев Дмитрий (г.Нижний Новгород ) СС 1 категории (Руководитель гонки) 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Урутин Михаил (г.Нижний Новгород) СС 1 категории (Главный хронометрист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(Главный секретарь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(КСК)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(Технический комиссар)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(Главный врач Соревнования)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назначению  (Судья при участниках)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Электронный адрес постоянного Секретариата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: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info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@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nring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>ru</w:t>
      </w:r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Официальный сайт соревнования: </w:t>
      </w:r>
      <w:hyperlink r:id="rId5">
        <w:r>
          <w:rPr>
            <w:rStyle w:val="InternetLink"/>
            <w:rFonts w:cs="Times New Roman" w:ascii="Times New Roman" w:hAnsi="Times New Roman"/>
            <w:sz w:val="24"/>
            <w:szCs w:val="24"/>
          </w:rPr>
          <w:t>www.nring.ru</w:t>
        </w:r>
      </w:hyperlink>
    </w:p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ind w:firstLine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20"/>
        <w:numPr>
          <w:ilvl w:val="1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Министерство спорта Нижегородской области и РФСОО «ФРАМСНО» определяют условия проведения спортивных соревнований, предусмотренные настоящим Положением.</w:t>
      </w:r>
    </w:p>
    <w:p>
      <w:pPr>
        <w:pStyle w:val="Style20"/>
        <w:numPr>
          <w:ilvl w:val="1"/>
          <w:numId w:val="2"/>
        </w:numPr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Нормативными документами организации и проведения соревнования являются: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Спортивный кодекс РАФ и приложения к нему;</w:t>
      </w:r>
    </w:p>
    <w:p>
      <w:pPr>
        <w:pStyle w:val="Normal"/>
        <w:spacing w:lineRule="auto" w:line="240" w:before="0" w:after="0"/>
        <w:ind w:left="360" w:hanging="0"/>
        <w:rPr/>
      </w:pPr>
      <w:r>
        <w:rPr>
          <w:rFonts w:cs="Times New Roman" w:ascii="Times New Roman" w:hAnsi="Times New Roman"/>
          <w:sz w:val="24"/>
          <w:szCs w:val="24"/>
        </w:rPr>
        <w:t>- Правила организации и проведения соревнований по автомобильным кольцевым гонкам;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Технический регламент 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Настоящий регламент 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Частные регламенты этапов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Дополнения к настоящему регламенту, (бюллетени организатора)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>. ОБЕСПЕЧЕНИЕ БЕЗОПАСНОСТИ УЧАСТНИКОВ И ЗРИТЕЛЕЙ, МЕДИЦИНСКОЕ ОБЕСПЕЧЕНИЕ, АНТИДОПИНГОВОЕ ОБЕСПЕЧЕНИЕ СПОРТИВНЫХ СОРЕВНОВАНИЙ.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г. №329 «О физической культуре и спорте в Российской Федерации».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 № 353.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>
      <w:pPr>
        <w:pStyle w:val="Style20"/>
        <w:numPr>
          <w:ilvl w:val="0"/>
          <w:numId w:val="10"/>
        </w:numPr>
        <w:spacing w:lineRule="auto" w:line="276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09.08.2016 г. № 947.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10.11.1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142" w:hanging="0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eastAsia="Arial-BoldMT;MS Mincho" w:cs="Times New Roman"/>
          <w:b/>
          <w:b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/>
          <w:bCs/>
          <w:sz w:val="28"/>
          <w:szCs w:val="28"/>
        </w:rPr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76" w:before="0" w:after="0"/>
        <w:ind w:left="0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. ПРОГРАММА СОРЕВНОВАНИЙ.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8.00 – 9.00      Регистрация участников, АП, ПТИ, Медицинский контроль   (все классы)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9.10 – 9.20      Заседание КСК, Утверждение и публикация списков допущенных участников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9.20 – 9.50      Брифинг пилотов (все классы)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10.00 – 10.20  Официальная тренировка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10.30 – 10.50  Официальная тренировка Волга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11.00 – 11.20  Квалификация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11.30 – 11.50  Квалификация Волга + Жигули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12.00 – 12.20  Открытие соревнования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12.30 – 12.45  Предстартовая процедура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12.45 – 13.15  Гонка 1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 (13 кругов старт с хода)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13.30 – 13.45  Предстартовая процедура Волга + Жигули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13.45 – 14.15  Гонка 1 Волга + Жигули (13 кругов старт с хода)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14.30 – 14.45  Предстартовая процедура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</w:t>
      </w:r>
    </w:p>
    <w:p>
      <w:pPr>
        <w:pStyle w:val="Normal"/>
        <w:spacing w:lineRule="auto" w:line="240" w:before="0" w:after="0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14.45 – 15.20  Гонка 2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 (15 кругов старт с места)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15.30 – 15.45  Предстартовая процедура Волга + Жигули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15.45 – 16.20  Гонка 2 Волга + Жигули (15 кругов старт с места)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Программа соревнований, по решению организатора может быть изменена*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. ТРЕБОВАНИЯ К УЧАСТНИКАМ И УСЛОВИЯ ИХ ДОПУСКА.</w:t>
      </w:r>
    </w:p>
    <w:p>
      <w:pPr>
        <w:pStyle w:val="Style20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 спортивным соревнованиям допускаются спортсмены следующих возрастных категорий: мужчины, женщины, Юноши, девушки (15-17 лет)</w:t>
      </w:r>
    </w:p>
    <w:p>
      <w:pPr>
        <w:pStyle w:val="Style20"/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Спортивные соревнования проходят по следующим дисциплинам:</w:t>
      </w:r>
    </w:p>
    <w:p>
      <w:pPr>
        <w:pStyle w:val="Normal"/>
        <w:spacing w:lineRule="auto" w:line="240"/>
        <w:ind w:left="360" w:hanging="0"/>
        <w:rPr/>
      </w:pPr>
      <w:r>
        <w:rPr>
          <w:rFonts w:cs="Times New Roman" w:ascii="Times New Roman" w:hAnsi="Times New Roman"/>
          <w:sz w:val="24"/>
          <w:szCs w:val="24"/>
        </w:rPr>
        <w:t>кольцевые гонки "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1600" 1660261811Л</w:t>
      </w:r>
    </w:p>
    <w:p>
      <w:pPr>
        <w:pStyle w:val="Normal"/>
        <w:spacing w:lineRule="auto" w:line="240"/>
        <w:ind w:left="360" w:hanging="0"/>
        <w:rPr/>
      </w:pPr>
      <w:r>
        <w:rPr>
          <w:rFonts w:cs="Times New Roman" w:ascii="Times New Roman" w:hAnsi="Times New Roman"/>
          <w:sz w:val="24"/>
          <w:szCs w:val="24"/>
        </w:rPr>
        <w:t>кольцевые гонки "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1600 юниор" 1660261811Л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кольцевые гонки "Волга" 1660241811Л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кольцевые гонки "Лада"   1660251811Л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участию в соревнованиях допускаются Пилоты, подавшие заявки и оплатившие стартовый взнос, имеющие действующие Лицензии  Пилота, выданные  РАФ не ниже категории «Е» (в зачётной группе «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>1600 Юниор» не ниже категории «Е-ю») и соответствующие критериям допуска для участия в официальных соревнованиях. Пилоты, не обладающие по мнению КСК, достаточным уровнем подготовки и представляющие  опасность для соревнующихся, могут быть  решением КСК отстранены от тренировок или гонок.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Экипировка Пилотов должна соответствовать Приложению 15 к КиТТ. Допускается, применение экипировки с просроченной омологацией, при условии отсутствия у экипировки повреждений. Применение системы FHR (HANS®) рекомендовано.</w:t>
      </w:r>
    </w:p>
    <w:p>
      <w:pPr>
        <w:pStyle w:val="Normal"/>
        <w:autoSpaceDE w:val="false"/>
        <w:spacing w:lineRule="auto" w:line="240" w:before="0" w:after="0"/>
        <w:ind w:left="6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6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6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6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6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6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644" w:hanging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ДОПУСКАЕМЫЕ АВТОМОБИЛИ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К участию в соревнованиях допускаются автомобили, соответствующие действующим в 2021 году КиТТ и дополнительным техническим требованиям к автомобилям участвующим в кольцевых гонках.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- В зачетную группу «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S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1600» допускаются автомобили, подготовленные по  «Техническим требованиям к автомобилям класса «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S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1600» 2021года (Приложение №26 к КиТТ 2021 года), Техническим требованиям к автомобилям класса «Национальный» (Приложение №26 к КиТТ 2014 года) и дополнений к нему.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- В зачетную группу «Волга» допускаются автомобили, удовлетворяющие «Специальным техническим требованиям к автомобилям класса «Волга», участвующими в спортивных соревнованиях» (Приложение №20 к КиТТ), «Специальным техническим требованиям к автомобилям класса «Волга 406».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- В зачетную группу «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S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1600 Юниор» допускаются автомобили, удовлетворяющие «Специальным техническим требованиям к автомобилям зачетной группы «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S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1600 Юниоры 2021» для кольцевых гонок в России - </w:t>
      </w: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2021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», удовлетворяющие «Специальным техническим требованиям к автомобилям зачетной группы </w:t>
      </w:r>
      <w:r>
        <w:rPr>
          <w:rFonts w:eastAsia="Arial-BoldMT;MS Mincho" w:cs="Times New Roman" w:ascii="Times New Roman" w:hAnsi="Times New Roman"/>
          <w:bCs/>
          <w:sz w:val="24"/>
          <w:szCs w:val="24"/>
          <w:lang w:val="en-US"/>
        </w:rPr>
        <w:t>S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1600 Лайт 2019», «Специальным техническим требованиям к автомобилям зачетной группы НАЦИОНАЛЬНЫЙ ЮНИОР» , для кольцевых гонок в России - </w:t>
      </w: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2018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»</w:t>
        <w:tab/>
        <w:tab/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- В зачетную группу «Лада» допускаются автомобили, подготовленные по  «Техническим требованиям к классическим автомобилям класса «Лада» 2014 года (Приложение №26 к КиТТ 2014 года) и дополнений к нему.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автомобили должны быть оборудованы исправными датчиками автоматической системы хронометража "</w:t>
      </w:r>
      <w:r>
        <w:rPr>
          <w:rFonts w:cs="Times New Roman" w:ascii="Times New Roman" w:hAnsi="Times New Roman"/>
          <w:sz w:val="24"/>
          <w:szCs w:val="24"/>
          <w:lang w:val="en-US"/>
        </w:rPr>
        <w:t>TAG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HEUER</w:t>
      </w:r>
      <w:r>
        <w:rPr>
          <w:rFonts w:cs="Times New Roman" w:ascii="Times New Roman" w:hAnsi="Times New Roman"/>
          <w:sz w:val="24"/>
          <w:szCs w:val="24"/>
        </w:rPr>
        <w:t>", номера которых указываются Участниками на Административной проверке. Датчики могут быть предоставлены в аренду Организатором при этом, участник, несёт ответственность за работоспособность и в случае порчи датчика компенсирует его полную стоимость. 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автомобили, участвующие в соревновании должны иметь установленный РАФ Технический Паспорт на автомобиль, участвующий в спортивных соревнованиях (СТП).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Техническая инспекция проводится в соответствии с программой этапа соревнования.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Автомобиль участника должен нести на себе обязательную рекламу Организатора в течение всего соревнования. Отсутствие обязательной рекламы может послужить причиной отказа в допуске автомобиля в заезд.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всех автомобилях должны использоваться шины, указанные в Приложении 3. Использование шинных грелок запрещено во всех зачетных группах.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всех автомобилях должно использоваться топливо, указанное в Приложении 4.</w:t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этап одним Водителем могут быть заявлены максимум два автомобиля в каждой зачетной группе.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случае, заявки одним Водителем двух автомобилей в одной зачётной группе на этап, участник обязан предоставить к осмотру каждый автомобиль на ПТИ (Предварительную Техническую Инспекцию), а так же на каждой Технической Инспекции по требованию технического контролёра. Подменный автомобиль должен полностью соответствовать Ки ТТ подменяемого.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Смена автомобиля участником допускается один раз  за этап, при  этом запрещена смена автомобиля на протяжении отдельно взятого официального заезда, данный участник обязан стартовать с последней позиции в ближайшей гонке, в которой он будет принимать участие.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применения весовых гандикапов описан в Приложении 1 к данному регламенту.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Углубленный технический осмотр производится в соответствии с Приложением 10 к СК РАФ «Положение об углублённом техническом осмотре автомобилей, участвующих в соревнованиях».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С целью уравнивания соревновательных возможностей, величины изменяемых параметров автомобилей могут неоднократно корректироваться в течение многоэтапного соревнования, но не более одного раза на этапе. Право принятия в ходе сезона решений об уравнивании соревновательных возможностей автомобилей, участвующих в зачётных группах, имеет Организатор.</w:t>
      </w:r>
    </w:p>
    <w:p>
      <w:pPr>
        <w:pStyle w:val="Normal"/>
        <w:autoSpaceDE w:val="false"/>
        <w:spacing w:lineRule="auto" w:line="240" w:before="0" w:after="0"/>
        <w:ind w:left="88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sz w:val="28"/>
          <w:szCs w:val="28"/>
        </w:rPr>
        <w:t>. ЗАЯВКИ НА УЧАСТИЕ.</w:t>
      </w:r>
    </w:p>
    <w:p>
      <w:pPr>
        <w:pStyle w:val="Normal"/>
        <w:numPr>
          <w:ilvl w:val="0"/>
          <w:numId w:val="3"/>
        </w:numPr>
        <w:autoSpaceDE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Заявки на участие в личном и командном зачёте подаются не позднее 7 дней до начала соревнования на электронную почту </w:t>
      </w:r>
      <w:hyperlink r:id="rId6"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info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</w:rPr>
          <w:t>@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nring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</w:rPr>
          <w:t>.</w:t>
        </w:r>
        <w:r>
          <w:rPr>
            <w:rStyle w:val="InternetLink"/>
            <w:rFonts w:eastAsia="Arial-BoldMT;MS Mincho" w:cs="Times New Roman" w:ascii="Times New Roman" w:hAnsi="Times New Roman"/>
            <w:bCs/>
            <w:sz w:val="24"/>
            <w:szCs w:val="24"/>
            <w:lang w:val="en-US"/>
          </w:rPr>
          <w:t>ru</w:t>
        </w:r>
      </w:hyperlink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..Полностью заполненную и собственноручно подписанную заявку, участник должен предъявить на административной проверке в начале каждого этапа соревнования. Форма заявки приведена в Приложении №2  к данному положению. </w:t>
      </w:r>
    </w:p>
    <w:p>
      <w:pPr>
        <w:pStyle w:val="Style20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заявке прилагаются следующие документы на каждого спортсмена:</w:t>
      </w:r>
    </w:p>
    <w:p>
      <w:pPr>
        <w:pStyle w:val="Style20"/>
        <w:spacing w:lineRule="auto" w:line="276" w:before="0" w:after="0"/>
        <w:ind w:left="36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 паспорт или иной документ удостоверяющий личность,</w:t>
      </w:r>
    </w:p>
    <w:p>
      <w:pPr>
        <w:pStyle w:val="Style20"/>
        <w:spacing w:lineRule="auto" w:line="276" w:before="0" w:after="0"/>
        <w:ind w:left="36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 полис обязательного медицинского страхования,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- полис страхования жизни и здоровья от несчастных случаев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- Национальная Лицензия пилота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- Персональная национальная лицензия заявителя (для родителей или законных представителей пилотов младше 18 лет)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. УСЛОВИЯ ПОДВЕДЕНИЯ ИТОГОВ.</w:t>
      </w:r>
    </w:p>
    <w:p>
      <w:pPr>
        <w:pStyle w:val="Normal"/>
        <w:numPr>
          <w:ilvl w:val="1"/>
          <w:numId w:val="6"/>
        </w:numPr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Официальные соревнования проводятся в личном и командном зачёте.</w:t>
      </w:r>
    </w:p>
    <w:p>
      <w:pPr>
        <w:pStyle w:val="Normal"/>
        <w:numPr>
          <w:ilvl w:val="1"/>
          <w:numId w:val="6"/>
        </w:numPr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Официальное соревнование будет считаться состоявшимся в том случае, если фактически будет организовано и проведено более половины заявленных этапов.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/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Под принявшим участие в Этапе, понимается Пилот, проехавший хотя бы один круг в любой из тренировок. Принявшим участие в многоэтапном соревновании считается Пилот, принявший участие хотя бы в одном из Этапов.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Каждый Этап соревнования для каждой из зачетных групп состоит из 2-х гонок на дистанцию не менее 35 км каждая.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КСК может принять решение о совместном проведении заездов в зачётных группах, в которых автомобили обладают близкими скоростными характеристиками.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Проведение тренировок, квалификации, разминки и гонок осуществляется в соответствии с Правилами.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Состав команды на этапах официальных соревнований не более 2 спортсменов в одной зачётной группе, заявленных одним Заявителем. Заявка команды подаётся в каждый из зачётов официального соревнования и сопровождается разовым на всё многоэтапное соревнование заявочным взносом. Соревнование, считается классифицируемым в командном зачёте, при условии регистрации не менее 3 (трёх) команд.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/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Тренировка: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 во всех зачетных группах проводится как минимум одна тренировка продолжительностью не менее 20 минут.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Квалификация: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время квалификации работа с автомобилями, участвующими в ней, разрешается только в рабочей зоне пит-лейн перед боксами.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всех зачетных группах проводится одна квалификация длительностью 20 минут.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Если несколько Пилотов показали одинаковое время, преимущество имеет Пилот, показавший это время первым.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После окончания квалификации все Пилоты должны направить свои автомобили в зону ТИ.</w:t>
      </w:r>
    </w:p>
    <w:p>
      <w:pPr>
        <w:pStyle w:val="Normal"/>
        <w:numPr>
          <w:ilvl w:val="2"/>
          <w:numId w:val="6"/>
        </w:numPr>
        <w:tabs>
          <w:tab w:val="clear" w:pos="708"/>
          <w:tab w:val="left" w:pos="1760" w:leader="none"/>
        </w:tabs>
        <w:autoSpaceDE w:val="false"/>
        <w:spacing w:lineRule="auto" w:line="240" w:before="0" w:after="0"/>
        <w:ind w:left="1760" w:hanging="77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всех зачетных группах проводится одна квалификация продолжительностью 20 минут. В случае досрочной остановки квалификации по каким-либо причинам, время заезда будет увеличено на время остановки.</w:t>
      </w:r>
    </w:p>
    <w:p>
      <w:pPr>
        <w:pStyle w:val="Normal"/>
        <w:autoSpaceDE w:val="false"/>
        <w:spacing w:lineRule="auto" w:line="240" w:before="0" w:after="0"/>
        <w:ind w:left="176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176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ind w:left="1760" w:hanging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Стартовая решетка:</w:t>
      </w:r>
    </w:p>
    <w:p>
      <w:pPr>
        <w:pStyle w:val="Normal"/>
        <w:autoSpaceDE w:val="false"/>
        <w:spacing w:lineRule="auto" w:line="240" w:before="0" w:after="0"/>
        <w:ind w:left="990" w:hanging="0"/>
        <w:jc w:val="both"/>
        <w:rPr/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Во всех зачетных группах расстановка на стартовой решетке первой гонки – по лучшему времени в квалификации. Расстановка на стартовой решетке второй гонки – по результатам классификации в первой гонке. Пилоты, не стартовавшие в квалификации – после стартовавших в ней. Пилоты, не стартовавшие в первой гонке, занимают места после стартовавших в ней в соответствии с результатами квалификации 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Порядок проведения гонок и стартовая процедура определяются Правилами. Старт первой гонки во всех зачетных группах – с хода, старт второй – с места.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>В заездах Водители классифицируются в порядке пересечения линии финиша с учётом количества пройденных ими кругов; принимается во внимание только количество полных кругов.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Классифицируются только те водители, которые прошли, как минимум 75% дистанции победителя заезда. При расчёте количества кругов зачётной дистанции неполный круг округляется в меньшую сторону.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определении победителей и призёров Чемпионата, за каждую гонку каждого Этапа Водителям начисляются очки в зачёт Официального соревнования по «Таблице №1», исходя из занятого места. За лучшее время в квалификации в своей зачётной группе Водителю, принявшему старт в гонке, начисляется 1 дополнительное очко. За лучшее время круга в каждой из гонок Этапа в своей зачётной группе Водителю начисляется 1 дополнительное очко. Дополнительное очко за лучшее время круга начисляется только классифицированному в гонке водителю. </w:t>
      </w:r>
      <w:r>
        <w:rPr>
          <w:rFonts w:eastAsia="Arial-BoldMT;MS Mincho" w:cs="Times New Roman" w:ascii="Times New Roman" w:hAnsi="Times New Roman"/>
          <w:bCs/>
          <w:sz w:val="24"/>
          <w:szCs w:val="24"/>
        </w:rPr>
        <w:t>Победитель этапа определяется по сумме очков во всех проведённых гонках этапа. При равенстве очков – по лучшему месту в последней гонке этапа.</w:t>
      </w:r>
    </w:p>
    <w:p>
      <w:pPr>
        <w:pStyle w:val="Normal"/>
        <w:ind w:left="720" w:right="-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№1</w:t>
      </w:r>
    </w:p>
    <w:tbl>
      <w:tblPr>
        <w:tblW w:w="1056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674"/>
        <w:gridCol w:w="763"/>
        <w:gridCol w:w="686"/>
        <w:gridCol w:w="846"/>
        <w:gridCol w:w="846"/>
        <w:gridCol w:w="786"/>
        <w:gridCol w:w="786"/>
        <w:gridCol w:w="786"/>
        <w:gridCol w:w="720"/>
        <w:gridCol w:w="763"/>
        <w:gridCol w:w="1158"/>
      </w:tblGrid>
      <w:tr>
        <w:trPr/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Занятое место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 и далее</w:t>
            </w:r>
          </w:p>
        </w:tc>
      </w:tr>
      <w:tr>
        <w:trPr/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очков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-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numPr>
          <w:ilvl w:val="1"/>
          <w:numId w:val="6"/>
        </w:numPr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Начисление очков в командном зачёте производится по сумме очков, набранных спортсменами, заявленными Командой на этапах.</w:t>
      </w:r>
    </w:p>
    <w:p>
      <w:pPr>
        <w:pStyle w:val="Normal"/>
        <w:numPr>
          <w:ilvl w:val="1"/>
          <w:numId w:val="6"/>
        </w:numPr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равенстве количества очков двух команд места в Официальном соревновании распределяются в соответствии с Правилами.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  <w:t xml:space="preserve">Итоговые места в многоэтапном Соревновании личного и командного зачётов определяются по сумме набранных на 5 этапах очков за вычетом результата худшего этапа. </w:t>
      </w:r>
      <w:r>
        <w:rPr>
          <w:rFonts w:cs="Times New Roman" w:ascii="Times New Roman" w:hAnsi="Times New Roman"/>
          <w:sz w:val="24"/>
          <w:szCs w:val="24"/>
        </w:rPr>
        <w:t>Под худшим результатом этапа подразумевается также неучастие или сход Водителя/команды. В качестве худшего не может быть засчитан этап, на котором результат Водителя был аннулирован по любой причине. При равенстве результатов берется результат этапа, не вошедшего в зачет, при последующем равенстве – согласно лучшим результатам в отдельных этапах многоэтапного соревнования (по количеству побед, при новом равенстве согласно количеству вторых мест, далее третьих и т.д.), в случае дальнейшего равенства  – по результату в последней гонке.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ind w:firstLine="426"/>
        <w:jc w:val="center"/>
        <w:rPr>
          <w:rFonts w:ascii="Times New Roman" w:hAnsi="Times New Roman" w:eastAsia="Arial-BoldMT;MS Mincho" w:cs="Times New Roman"/>
          <w:bCs/>
          <w:sz w:val="28"/>
          <w:szCs w:val="28"/>
        </w:rPr>
      </w:pPr>
      <w:r>
        <w:rPr>
          <w:rFonts w:eastAsia="Arial-BoldMT;MS Mincho"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VIII</w:t>
      </w:r>
      <w:r>
        <w:rPr>
          <w:rFonts w:cs="Times New Roman" w:ascii="Times New Roman" w:hAnsi="Times New Roman"/>
          <w:sz w:val="28"/>
          <w:szCs w:val="28"/>
        </w:rPr>
        <w:t>. НАГРАЖДЕНИЕ ПОБЕДИТЕЛЕЙ И ПРИЗЕРОВ.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8.1. Победители и призеры этапов награждаются кубками и дипломами.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8.2.Пилоту, в своей зачетной группе, набравшему по итогам  Чемпионата Нижегородской Области наибольшее число очков, присваивается звание «Чемпион Нижегородской Области 2021 года по кольцевым гонкам в (зачетная группа)». Водители, занявшие 2-е и 3-е места, именуются серебряный и бронзовый призёры Чемпионата.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8.3. Команде, набравшей по итогам Чемпионата наибольшее число очков в своей зачётной группе, присваивается звание «Команда (официальное название команды) - Чемпион Нижегородской области 2021 года по кольцевым гонкам в (зачётная группа)».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IX</w:t>
      </w:r>
      <w:r>
        <w:rPr>
          <w:rFonts w:cs="Times New Roman" w:ascii="Times New Roman" w:hAnsi="Times New Roman"/>
          <w:sz w:val="28"/>
          <w:szCs w:val="28"/>
        </w:rPr>
        <w:t>. УСЛОВИЯ ФИНАНСИРОВАНИЯ.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АСК «Нижегородское кольцо» несёт расходы, связанные с организацией и проведением этапов  соревнования, награждением победителей и призеров.</w:t>
      </w:r>
    </w:p>
    <w:p>
      <w:pPr>
        <w:pStyle w:val="Style20"/>
        <w:spacing w:lineRule="auto" w:line="276" w:before="0" w:after="0"/>
        <w:ind w:left="0" w:hanging="0"/>
        <w:contextualSpacing/>
        <w:rPr/>
      </w:pPr>
      <w:r>
        <w:rPr>
          <w:rFonts w:cs="Times New Roman" w:ascii="Times New Roman" w:hAnsi="Times New Roman"/>
          <w:sz w:val="24"/>
          <w:szCs w:val="24"/>
        </w:rPr>
        <w:t>Размер и порядок оплаты стартовых взносов указан в частном регламенте этапа.</w:t>
      </w:r>
    </w:p>
    <w:p>
      <w:pPr>
        <w:pStyle w:val="Style20"/>
        <w:spacing w:lineRule="auto" w:line="276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Расходы по командированию (проезд, питание, размещение) участников и тренеров обеспечивают командирующие организации.</w:t>
      </w:r>
    </w:p>
    <w:p>
      <w:pPr>
        <w:pStyle w:val="Normal"/>
        <w:tabs>
          <w:tab w:val="clear" w:pos="708"/>
          <w:tab w:val="left" w:pos="851" w:leader="none"/>
        </w:tabs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 средства от заявочных и стартовых взносов идут на организационные расходы по проведению соревнований.</w:t>
      </w:r>
    </w:p>
    <w:p>
      <w:pPr>
        <w:pStyle w:val="Normal"/>
        <w:autoSpaceDE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>. ДОПОЛНИТЕЛЬНЫЕУСЛОВИЯ .</w:t>
      </w:r>
    </w:p>
    <w:p>
      <w:pPr>
        <w:pStyle w:val="Normal"/>
        <w:autoSpaceDE w:val="false"/>
        <w:spacing w:lineRule="auto" w:line="240" w:before="0" w:after="0"/>
        <w:ind w:left="142" w:hanging="0"/>
        <w:jc w:val="center"/>
        <w:rPr>
          <w:rFonts w:ascii="Times New Roman" w:hAnsi="Times New Roman" w:eastAsia="Arial-BoldMT;MS Mincho" w:cs="Times New Roman"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880" w:leader="none"/>
        </w:tabs>
        <w:autoSpaceDE w:val="false"/>
        <w:spacing w:lineRule="auto" w:line="240" w:before="0" w:after="0"/>
        <w:ind w:left="8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>ПРОТЕСТЫ, АППЕЛЯЦИИ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Каждый протест подается в соответствии с требованиями Главы 3 СК РАФ и сопровождается денежным взносом, (размер взноса указывается в частном регламенте этапа).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протест предусматривает проверку соответствия техническим требованиям нескольких участвующих в данном соревновании автомобилей, то протест подается против каждого автомобиля и сумма денежного взноса, сопровождающего протест, умножается на количество «опротестованных» автомобилей. В случае, когда для рассмотрения протеста требуется осмотр или демонтаж частей автомобиля, протестующий должен внести в виде технического залога сумму, равную денежному взносу за подачу протеста, указанную в РЭ. Протест не может быть подан против автомобиля «в целом». Должны быть указаны конкретные параметры опротестованного автомобиля, подлежащие проверке по протесту. Отдельный протест должен подаваться на каждый подвергающийся протесту агрегат автомобиля.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своего несогласия с решением, принятым Коллегией Спортивных Комиссаров, Участник имеет право подать Апелляцию в РАФ. Порядок подачи Апелляции определяется Главой 3 СК РАФ.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8"/>
        </w:numPr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 xml:space="preserve">АККРЕДИТАЦИЯ </w:t>
      </w:r>
      <w:r>
        <w:rPr>
          <w:rFonts w:cs="Times New Roman" w:ascii="Times New Roman" w:hAnsi="Times New Roman"/>
          <w:b/>
          <w:bCs/>
          <w:sz w:val="24"/>
          <w:szCs w:val="24"/>
        </w:rPr>
        <w:t>СРЕДСТВ МАССОВОЙ ИНФОРМАЦИИ</w:t>
      </w: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eastAsia="Arial-BoldMT;MS Mincho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Аккредитация средств массовой информации и их представителей на все этапы соревнования проводится Организатором.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990" w:leader="none"/>
        </w:tabs>
        <w:autoSpaceDE w:val="false"/>
        <w:spacing w:lineRule="auto" w:line="240" w:before="0" w:after="0"/>
        <w:ind w:left="990" w:hanging="630"/>
        <w:jc w:val="both"/>
        <w:rPr>
          <w:rFonts w:ascii="Times New Roman" w:hAnsi="Times New Roman" w:eastAsia="Arial-BoldMT;MS Mincho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Представители средств массовой информации допускаются на Трассу только после прохождения инструктажа по технике безопасности.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eastAsia="Arial-BoldMT;MS Mincho" w:cs="Times New Roman"/>
          <w:b/>
          <w:b/>
          <w:bCs/>
          <w:sz w:val="20"/>
          <w:szCs w:val="20"/>
        </w:rPr>
      </w:pPr>
      <w:r>
        <w:rPr>
          <w:rFonts w:eastAsia="Arial-BoldMT;MS Mincho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righ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Организатор, 2021</w:t>
      </w:r>
      <w:r>
        <w:br w:type="page"/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ПРИЛОЖЕНИЕ 1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ВЕСОВЫЕ ГАНДИКАПЫ (зачётная группа </w:t>
      </w:r>
      <w:r>
        <w:rPr>
          <w:rFonts w:cs="Times New Roman" w:ascii="Times New Roman" w:hAnsi="Times New Roman"/>
          <w:b/>
          <w:bCs/>
          <w:sz w:val="20"/>
          <w:szCs w:val="20"/>
          <w:lang w:val="en-US"/>
        </w:rPr>
        <w:t>S</w:t>
      </w:r>
      <w:r>
        <w:rPr>
          <w:rFonts w:cs="Times New Roman" w:ascii="Times New Roman" w:hAnsi="Times New Roman"/>
          <w:b/>
          <w:bCs/>
          <w:sz w:val="20"/>
          <w:szCs w:val="20"/>
        </w:rPr>
        <w:t>1600)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Минимальный вес автомобиля, устанавливаемый данным Приложением, зависит от результатов, достигнутых данным водителем, вне зависимости от того, на каком автомобиле он выступал (спортивный весовой гандикап).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Спортивный весовой гандикап </w:t>
      </w:r>
    </w:p>
    <w:p>
      <w:pPr>
        <w:pStyle w:val="Default"/>
        <w:spacing w:before="0" w:after="10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1. </w:t>
      </w:r>
      <w:r>
        <w:rPr>
          <w:rFonts w:cs="Times New Roman" w:ascii="Times New Roman" w:hAnsi="Times New Roman"/>
          <w:sz w:val="20"/>
          <w:szCs w:val="20"/>
        </w:rPr>
        <w:t xml:space="preserve">Каждому Водителю на первый Этап, в которой он принимает участие, к установленному ТТ минимальному весу автомобиля добавляется весовой гандикап в размере 10 кг. 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2. </w:t>
      </w:r>
      <w:r>
        <w:rPr>
          <w:rFonts w:cs="Times New Roman" w:ascii="Times New Roman" w:hAnsi="Times New Roman"/>
          <w:sz w:val="20"/>
          <w:szCs w:val="20"/>
        </w:rPr>
        <w:t xml:space="preserve">В зависимости от места, занятого Водителем на предыдущем Этапе к следующему Этапу, в котором он будет выступать, минимальный вес его автомобиля (с полностью экипированным Водителем) будет изменен на следующую величину: 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83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"/>
        <w:gridCol w:w="567"/>
        <w:gridCol w:w="567"/>
        <w:gridCol w:w="567"/>
        <w:gridCol w:w="567"/>
        <w:gridCol w:w="567"/>
        <w:gridCol w:w="1217"/>
      </w:tblGrid>
      <w:tr>
        <w:trPr>
          <w:trHeight w:val="350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0"/>
              <w:ind w:right="-143" w:hanging="0"/>
              <w:rPr>
                <w:b/>
                <w:b/>
              </w:rPr>
            </w:pPr>
            <w:r>
              <w:rPr>
                <w:b/>
              </w:rPr>
              <w:t>Занятое место на этапе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ниже</w:t>
            </w:r>
          </w:p>
        </w:tc>
      </w:tr>
      <w:tr>
        <w:trPr>
          <w:trHeight w:val="350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rPr/>
            </w:pPr>
            <w:r>
              <w:rPr/>
              <w:t>Изменение минимального веса, 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lang w:val="en-US"/>
              </w:rPr>
              <w:t>+</w:t>
            </w:r>
            <w:r>
              <w:rPr/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lang w:val="en-US"/>
              </w:rPr>
              <w:t>+</w:t>
            </w:r>
            <w:r>
              <w:rPr/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rPr/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/>
              <w:t>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lang w:val="en-US"/>
              </w:rPr>
              <w:t>-</w:t>
            </w:r>
            <w:r>
              <w:rPr/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143" w:hanging="0"/>
              <w:jc w:val="center"/>
              <w:rPr/>
            </w:pPr>
            <w:r>
              <w:rPr>
                <w:lang w:val="en-US"/>
              </w:rPr>
              <w:t>-</w:t>
            </w:r>
            <w:r>
              <w:rPr/>
              <w:t>15</w:t>
            </w:r>
          </w:p>
        </w:tc>
      </w:tr>
    </w:tbl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Спортивный весовой гандикап начисляется в зависимости от места, занятого Водителем в своей зачётной группе.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Вышеуказанный весовой гандикап носит накопительный характер, т.е. суммируется на протяжении всех Этапов, но при его применении общее увеличение минимального веса (относительно определенного ТТ) не должно превышать 30 кг.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spacing w:before="0" w:after="10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3. </w:t>
      </w:r>
      <w:r>
        <w:rPr>
          <w:rFonts w:cs="Times New Roman" w:ascii="Times New Roman" w:hAnsi="Times New Roman"/>
          <w:sz w:val="20"/>
          <w:szCs w:val="20"/>
        </w:rPr>
        <w:t xml:space="preserve">Если Водитель принял участие в Этапе, но не классифицирован в нем (кроме случаев аннулирования результата или дисквалификации в порядке наказания), то ранее добавленный ему весовой гандикап уменьшается так же, как занявшему место за пределами первой шестёрки (на 15 кг). </w:t>
      </w:r>
    </w:p>
    <w:p>
      <w:pPr>
        <w:pStyle w:val="Default"/>
        <w:spacing w:before="0" w:after="10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4. </w:t>
      </w:r>
      <w:r>
        <w:rPr>
          <w:rFonts w:cs="Times New Roman" w:ascii="Times New Roman" w:hAnsi="Times New Roman"/>
          <w:sz w:val="20"/>
          <w:szCs w:val="20"/>
        </w:rPr>
        <w:t xml:space="preserve">Если Водитель был наказан исключением из зачета (аннулированием результата), либо пропустил один или несколько Этапов многоэтапного соревнования, то ранее добавленный ему весовой гандикап не изменяется. </w:t>
      </w:r>
    </w:p>
    <w:p>
      <w:pPr>
        <w:pStyle w:val="Default"/>
        <w:spacing w:before="0" w:after="10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5. </w:t>
      </w:r>
      <w:r>
        <w:rPr>
          <w:rFonts w:cs="Times New Roman" w:ascii="Times New Roman" w:hAnsi="Times New Roman"/>
          <w:sz w:val="20"/>
          <w:szCs w:val="20"/>
        </w:rPr>
        <w:t xml:space="preserve">Вычисление спортивного весового гандикапа для каждого автомобиля на текущую гонку проводится в следующем порядке: </w:t>
      </w:r>
    </w:p>
    <w:p>
      <w:pPr>
        <w:pStyle w:val="Default"/>
        <w:spacing w:before="0" w:after="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−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Если полученная сумма превышает предельную величину, указанную в статье 2 то весовой гандикап принимается равным 30 кг.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−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Если весовой гандикап, вычисленный согласно статье 2, является отрицательной величиной, то установленный техническими требованиями минимальный вес может быть уменьшен на 10 кг, и дальнейшее его увеличение согласно статье 2 (к следующей гонке) производится от полученного таким образом веса. 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Общее по весовому гандикапу 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6. </w:t>
      </w:r>
      <w:r>
        <w:rPr>
          <w:rFonts w:cs="Times New Roman" w:ascii="Times New Roman" w:hAnsi="Times New Roman"/>
          <w:sz w:val="20"/>
          <w:szCs w:val="20"/>
        </w:rPr>
        <w:t xml:space="preserve">Минимальный вес, указанный в технических требованиях зачётной группы и дополненный в соответствии с выше изложенным должен соблюдаться на протяжении всех заездов. 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 xml:space="preserve">6.1. </w:t>
      </w:r>
      <w:r>
        <w:rPr>
          <w:rFonts w:cs="Times New Roman" w:ascii="Times New Roman" w:hAnsi="Times New Roman"/>
          <w:iCs/>
          <w:sz w:val="20"/>
          <w:szCs w:val="20"/>
        </w:rPr>
        <w:t>Для автомобилей зачетной группы «</w:t>
      </w:r>
      <w:r>
        <w:rPr>
          <w:rFonts w:cs="Times New Roman" w:ascii="Times New Roman" w:hAnsi="Times New Roman"/>
          <w:iCs/>
          <w:sz w:val="20"/>
          <w:szCs w:val="20"/>
          <w:lang w:val="en-US"/>
        </w:rPr>
        <w:t>S</w:t>
      </w:r>
      <w:r>
        <w:rPr>
          <w:rFonts w:cs="Times New Roman" w:ascii="Times New Roman" w:hAnsi="Times New Roman"/>
          <w:iCs/>
          <w:sz w:val="20"/>
          <w:szCs w:val="20"/>
        </w:rPr>
        <w:t>1600» минимальный вес автомобиля с Водителем в полной экипировке должен соответствовать п.201 Приложения 26 КиТТ. Редакции 2021года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  <w:t>Приложение 2</w:t>
      </w:r>
    </w:p>
    <w:p>
      <w:pPr>
        <w:pStyle w:val="Normal"/>
        <w:spacing w:before="0" w:after="0"/>
        <w:rPr>
          <w:vanish/>
        </w:rPr>
      </w:pPr>
      <w:r>
        <w:rPr>
          <w:vanish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6130925" cy="20955"/>
                <wp:effectExtent l="0" t="0" r="0" b="0"/>
                <wp:wrapSquare wrapText="bothSides"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209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55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15"/>
                              <w:gridCol w:w="1946"/>
                              <w:gridCol w:w="1594"/>
                            </w:tblGrid>
                            <w:tr>
                              <w:trPr>
                                <w:trHeight w:val="413" w:hRule="atLeast"/>
                                <w:cantSplit w:val="true"/>
                              </w:trPr>
                              <w:tc>
                                <w:tcPr>
                                  <w:tcW w:w="611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Чемпионат и первенство Нижегородской области по автомобильным кольцевым гонкам серии NLS  2021 г.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  <w:t>зачетная группа/команда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  <w:t>стартовый 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" w:hRule="atLeast"/>
                                <w:cantSplit w:val="true"/>
                              </w:trPr>
                              <w:tc>
                                <w:tcPr>
                                  <w:tcW w:w="611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0" w:after="20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75pt;height:1.65pt;mso-wrap-distance-left:9pt;mso-wrap-distance-right:9pt;mso-wrap-distance-top:0pt;mso-wrap-distance-bottom:0pt;margin-top:12.85pt;mso-position-vertical-relative:text;margin-left:0pt;mso-position-horizontal:center;mso-position-horizontal-relative:margin">
                <v:fill opacity="0f"/>
                <v:textbox inset="0in,0in,0in,0in">
                  <w:txbxContent>
                    <w:tbl>
                      <w:tblPr>
                        <w:tblW w:w="9655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15"/>
                        <w:gridCol w:w="1946"/>
                        <w:gridCol w:w="1594"/>
                      </w:tblGrid>
                      <w:tr>
                        <w:trPr>
                          <w:trHeight w:val="413" w:hRule="atLeast"/>
                          <w:cantSplit w:val="true"/>
                        </w:trPr>
                        <w:tc>
                          <w:tcPr>
                            <w:tcW w:w="611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Чемпионат и первенство Нижегородской области по автомобильным кольцевым гонкам серии NLS  2021 г.</w:t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top w:val="single" w:sz="4" w:space="0" w:color="000000"/>
                              <w:left w:val="doub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зачетная группа/команда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стартовый №</w:t>
                            </w:r>
                          </w:p>
                        </w:tc>
                      </w:tr>
                      <w:tr>
                        <w:trPr>
                          <w:trHeight w:val="71" w:hRule="atLeast"/>
                          <w:cantSplit w:val="true"/>
                        </w:trPr>
                        <w:tc>
                          <w:tcPr>
                            <w:tcW w:w="611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946" w:type="dxa"/>
                            <w:tcBorders>
                              <w:top w:val="single" w:sz="4" w:space="0" w:color="000000"/>
                              <w:left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spacing w:before="0" w:after="2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0173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32"/>
        <w:gridCol w:w="117"/>
        <w:gridCol w:w="848"/>
        <w:gridCol w:w="811"/>
        <w:gridCol w:w="66"/>
        <w:gridCol w:w="538"/>
        <w:gridCol w:w="114"/>
        <w:gridCol w:w="456"/>
        <w:gridCol w:w="86"/>
        <w:gridCol w:w="198"/>
        <w:gridCol w:w="737"/>
        <w:gridCol w:w="851"/>
        <w:gridCol w:w="680"/>
        <w:gridCol w:w="57"/>
        <w:gridCol w:w="227"/>
        <w:gridCol w:w="595"/>
        <w:gridCol w:w="284"/>
        <w:gridCol w:w="540"/>
        <w:gridCol w:w="281"/>
        <w:gridCol w:w="415"/>
        <w:gridCol w:w="152"/>
        <w:gridCol w:w="285"/>
        <w:gridCol w:w="570"/>
      </w:tblGrid>
      <w:tr>
        <w:trPr>
          <w:trHeight w:val="572" w:hRule="atLeast"/>
          <w:cantSplit w:val="true"/>
        </w:trPr>
        <w:tc>
          <w:tcPr>
            <w:tcW w:w="533" w:type="dxa"/>
            <w:tcBorders/>
          </w:tcPr>
          <w:p>
            <w:pPr>
              <w:pStyle w:val="TableHeading"/>
              <w:spacing w:before="0" w:after="200"/>
              <w:rPr/>
            </w:pPr>
            <w:r>
              <w:rPr/>
            </w:r>
          </w:p>
        </w:tc>
        <w:tc>
          <w:tcPr>
            <w:tcW w:w="964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Heading1"/>
              <w:spacing w:before="24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ЗАЯВКА НА УЧАСТИЕ</w:t>
            </w:r>
          </w:p>
        </w:tc>
      </w:tr>
      <w:tr>
        <w:trPr>
          <w:trHeight w:val="52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УЧАСТНИК (ЗАЯВИТЕЛЬ)</w:t>
            </w:r>
          </w:p>
        </w:tc>
        <w:tc>
          <w:tcPr>
            <w:tcW w:w="4937" w:type="dxa"/>
            <w:gridSpan w:val="12"/>
            <w:tcBorders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</w:t>
            </w:r>
          </w:p>
        </w:tc>
      </w:tr>
      <w:tr>
        <w:trPr>
          <w:trHeight w:val="43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Наименование: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Модель: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>
        <w:trPr>
          <w:trHeight w:val="402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(ФИА, РАФ) №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Рабочий объем двигателя: </w:t>
            </w:r>
          </w:p>
        </w:tc>
      </w:tr>
      <w:tr>
        <w:trPr>
          <w:trHeight w:val="44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129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Группа/класс </w:t>
            </w:r>
          </w:p>
        </w:tc>
      </w:tr>
      <w:tr>
        <w:trPr>
          <w:trHeight w:val="55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Подготовка автомобиля (ненужное зачеркнуть)</w:t>
            </w:r>
          </w:p>
        </w:tc>
        <w:tc>
          <w:tcPr>
            <w:tcW w:w="16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 регистрация</w:t>
            </w:r>
          </w:p>
        </w:tc>
        <w:tc>
          <w:tcPr>
            <w:tcW w:w="17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Действующие КиТТ</w:t>
            </w:r>
          </w:p>
        </w:tc>
      </w:tr>
      <w:tr>
        <w:trPr>
          <w:trHeight w:val="419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Ул.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  <w:tc>
          <w:tcPr>
            <w:tcW w:w="1588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6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3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(Код) Телефон: </w:t>
            </w:r>
          </w:p>
        </w:tc>
        <w:tc>
          <w:tcPr>
            <w:tcW w:w="351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Согласие на размещение рекламы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Heading1"/>
              <w:spacing w:before="24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ВОДИТЕЛЬ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МЕХАНИК</w:t>
            </w:r>
          </w:p>
        </w:tc>
      </w:tr>
      <w:tr>
        <w:trPr>
          <w:trHeight w:val="301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Фамилия: </w:t>
            </w:r>
          </w:p>
        </w:tc>
      </w:tr>
      <w:tr>
        <w:trPr>
          <w:trHeight w:val="420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Имя: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Имя: </w:t>
            </w:r>
          </w:p>
        </w:tc>
      </w:tr>
      <w:tr>
        <w:trPr>
          <w:trHeight w:val="42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Гражданство: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Гражданство: </w:t>
            </w:r>
          </w:p>
        </w:tc>
      </w:tr>
      <w:tr>
        <w:trPr>
          <w:trHeight w:val="41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2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Спортивное звание: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2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Спорт. звание: </w:t>
            </w:r>
          </w:p>
        </w:tc>
      </w:tr>
      <w:tr>
        <w:trPr>
          <w:trHeight w:val="424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129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Индекс </w:t>
            </w:r>
          </w:p>
        </w:tc>
        <w:tc>
          <w:tcPr>
            <w:tcW w:w="2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</w:t>
            </w:r>
          </w:p>
        </w:tc>
      </w:tr>
      <w:tr>
        <w:trPr>
          <w:trHeight w:val="416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Город: </w:t>
            </w:r>
          </w:p>
        </w:tc>
      </w:tr>
      <w:tr>
        <w:trPr>
          <w:trHeight w:val="435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ул. 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кв.</w:t>
            </w:r>
          </w:p>
        </w:tc>
      </w:tr>
      <w:tr>
        <w:trPr>
          <w:trHeight w:val="427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Телефон: 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Телефон: </w:t>
            </w:r>
          </w:p>
        </w:tc>
      </w:tr>
      <w:tr>
        <w:trPr>
          <w:trHeight w:val="420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водителя (ФИА, РАФ) №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Лицензия (ФИА, РАФ)</w:t>
            </w:r>
          </w:p>
        </w:tc>
      </w:tr>
      <w:tr>
        <w:trPr>
          <w:trHeight w:val="426" w:hRule="atLeast"/>
          <w:cantSplit w:val="true"/>
        </w:trPr>
        <w:tc>
          <w:tcPr>
            <w:tcW w:w="53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03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Подпись:</w:t>
            </w:r>
          </w:p>
        </w:tc>
      </w:tr>
      <w:tr>
        <w:trPr/>
        <w:tc>
          <w:tcPr>
            <w:tcW w:w="2230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7943" w:type="dxa"/>
            <w:gridSpan w:val="20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30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gridSpan w:val="3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(фамилия)</w:t>
            </w:r>
          </w:p>
        </w:tc>
        <w:tc>
          <w:tcPr>
            <w:tcW w:w="284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gridSpan w:val="7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ПРИЛОЖЕНИЕ 3</w:t>
      </w:r>
    </w:p>
    <w:p>
      <w:pPr>
        <w:pStyle w:val="Normal"/>
        <w:autoSpaceDE w:val="false"/>
        <w:spacing w:lineRule="auto" w:line="240" w:before="0" w:after="0"/>
        <w:jc w:val="center"/>
        <w:rPr/>
      </w:pPr>
      <w:r>
        <w:rPr/>
        <w:t>Шины.</w:t>
      </w:r>
    </w:p>
    <w:tbl>
      <w:tblPr>
        <w:tblW w:w="1069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2670"/>
        <w:gridCol w:w="2671"/>
        <w:gridCol w:w="14"/>
        <w:gridCol w:w="2659"/>
        <w:gridCol w:w="11"/>
      </w:tblGrid>
      <w:tr>
        <w:trPr/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Зачётная группа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Марка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Радиус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/>
              <w:t>Размер</w:t>
            </w:r>
          </w:p>
        </w:tc>
      </w:tr>
      <w:tr>
        <w:trPr>
          <w:trHeight w:val="510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S 1600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Yokohama A 048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</w:rPr>
              <w:t>Toyo Proxes R888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R14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</w:rPr>
              <w:t>R14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185/55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Style w:val="Inplace"/>
                <w:b/>
                <w:bCs/>
                <w:color w:val="000000"/>
                <w:sz w:val="24"/>
                <w:szCs w:val="24"/>
              </w:rPr>
              <w:t>185/60</w:t>
            </w:r>
          </w:p>
        </w:tc>
      </w:tr>
      <w:tr>
        <w:trPr>
          <w:trHeight w:val="1200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jc w:val="center"/>
              <w:rPr>
                <w:b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«Волга»,</w:t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«Волга 406»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Любая дорожная с индексом «Е», «</w:t>
            </w:r>
            <w:r>
              <w:rPr>
                <w:b/>
                <w:sz w:val="24"/>
                <w:szCs w:val="24"/>
                <w:lang w:val="en-US"/>
              </w:rPr>
              <w:t>DOT</w:t>
            </w:r>
            <w:r>
              <w:rPr>
                <w:b/>
                <w:sz w:val="24"/>
                <w:szCs w:val="24"/>
              </w:rPr>
              <w:t>», «РСТ»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R14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205/70</w:t>
            </w:r>
          </w:p>
        </w:tc>
      </w:tr>
      <w:tr>
        <w:trPr>
          <w:trHeight w:val="915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«Юниор»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Yokohama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AE50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Yokohama AE50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shd w:fill="FFFFFF" w:val="clear"/>
                <w:lang w:val="en-US"/>
              </w:rPr>
              <w:t>Cordiant Sport 2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b/>
                <w:color w:val="000000"/>
                <w:sz w:val="24"/>
                <w:szCs w:val="24"/>
                <w:shd w:fill="FFFFFF" w:val="clear"/>
                <w:lang w:val="en-US"/>
              </w:rPr>
              <w:t xml:space="preserve"> Nordman SX2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R14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R15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R14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185/60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195/50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185/60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185/60</w:t>
            </w:r>
          </w:p>
        </w:tc>
      </w:tr>
      <w:tr>
        <w:trPr>
          <w:trHeight w:val="915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«Лада»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Любая дорожная с индексом «Е», «</w:t>
            </w:r>
            <w:r>
              <w:rPr>
                <w:b/>
                <w:sz w:val="24"/>
                <w:szCs w:val="24"/>
                <w:lang w:val="en-US"/>
              </w:rPr>
              <w:t>DOT</w:t>
            </w:r>
            <w:r>
              <w:rPr>
                <w:b/>
                <w:sz w:val="24"/>
                <w:szCs w:val="24"/>
              </w:rPr>
              <w:t>», «РСТ»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Yokohama A 048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</w:rPr>
              <w:t>Toyo Proxes R888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R14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R13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R14</w:t>
            </w:r>
          </w:p>
          <w:p>
            <w:pPr>
              <w:pStyle w:val="Heading1"/>
              <w:shd w:fill="FFFFFF" w:val="clear"/>
              <w:spacing w:before="0" w:after="90"/>
              <w:jc w:val="center"/>
              <w:rPr>
                <w:rFonts w:ascii="Calibri" w:hAnsi="Calibri" w:cs="Calibri"/>
                <w:bCs w:val="false"/>
                <w:color w:val="000000"/>
                <w:sz w:val="24"/>
                <w:szCs w:val="24"/>
              </w:rPr>
            </w:pPr>
            <w:r>
              <w:rPr>
                <w:rStyle w:val="Inplace"/>
                <w:rFonts w:cs="Calibri" w:ascii="Calibri" w:hAnsi="Calibri"/>
                <w:bCs/>
                <w:color w:val="000000"/>
                <w:sz w:val="24"/>
                <w:szCs w:val="24"/>
              </w:rPr>
              <w:t>R14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185/55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185/55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rStyle w:val="Inplace"/>
                <w:b/>
                <w:bCs/>
                <w:color w:val="000000"/>
                <w:sz w:val="24"/>
                <w:szCs w:val="24"/>
              </w:rPr>
              <w:t>185/60</w:t>
            </w:r>
          </w:p>
        </w:tc>
      </w:tr>
    </w:tbl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/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>ПРИЛОЖЕНИЕ 4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Топливо.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Во всех зачётных группах в качестве топлива должен использоваться товарный неэтилированный бензин с октановым числом, определенным исследовательским методом, не выше 102 . 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В соревнованиях может быть предусмотрена заправка всех автомобилей единым топливом. В этом случае: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Качество бензина должно удостоверяться соответствующим сертификатом.</w:t>
      </w:r>
    </w:p>
    <w:p>
      <w:pPr>
        <w:pStyle w:val="Style19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Контроль топлива осуществляется путем сравнительного анализа проб с образцами поставляемого бензина.</w:t>
      </w:r>
    </w:p>
    <w:p>
      <w:pPr>
        <w:pStyle w:val="Normal"/>
        <w:autoSpaceDE w:val="false"/>
        <w:spacing w:lineRule="auto" w:line="240"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720" w:right="720" w:gutter="0" w:header="708" w:top="764" w:footer="708" w:bottom="7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Arial-BoldItalicMT">
    <w:altName w:val="Times New Roman"/>
    <w:charset w:val="cc"/>
    <w:family w:val="swiss"/>
    <w:pitch w:val="default"/>
  </w:font>
  <w:font w:name="Cambr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autoSpaceDE w:val="false"/>
      <w:spacing w:lineRule="auto" w:line="240" w:before="0" w:after="0"/>
      <w:jc w:val="center"/>
      <w:rPr>
        <w:b/>
        <w:b/>
        <w:bCs/>
        <w:i/>
        <w:i/>
        <w:iCs/>
        <w:color w:val="000000"/>
        <w:sz w:val="16"/>
        <w:szCs w:val="16"/>
      </w:rPr>
    </w:pPr>
    <w:r>
      <w:rPr>
        <w:i/>
        <w:iCs/>
        <w:sz w:val="16"/>
        <w:szCs w:val="16"/>
      </w:rPr>
      <w:t xml:space="preserve">Страница </w:t>
    </w:r>
    <w:r>
      <w:rPr>
        <w:b/>
        <w:bCs/>
        <w:i/>
        <w:iCs/>
        <w:sz w:val="16"/>
        <w:szCs w:val="16"/>
      </w:rPr>
      <w:fldChar w:fldCharType="begin"/>
    </w:r>
    <w:r>
      <w:rPr>
        <w:sz w:val="16"/>
        <w:i/>
        <w:b/>
        <w:szCs w:val="16"/>
        <w:iCs/>
        <w:bCs/>
      </w:rPr>
      <w:instrText xml:space="preserve"> PAGE </w:instrText>
    </w:r>
    <w:r>
      <w:rPr>
        <w:sz w:val="16"/>
        <w:i/>
        <w:b/>
        <w:szCs w:val="16"/>
        <w:iCs/>
        <w:bCs/>
      </w:rPr>
      <w:fldChar w:fldCharType="separate"/>
    </w:r>
    <w:r>
      <w:rPr>
        <w:sz w:val="16"/>
        <w:i/>
        <w:b/>
        <w:szCs w:val="16"/>
        <w:iCs/>
        <w:bCs/>
      </w:rPr>
      <w:t>13</w:t>
    </w:r>
    <w:r>
      <w:rPr>
        <w:sz w:val="16"/>
        <w:i/>
        <w:b/>
        <w:szCs w:val="16"/>
        <w:iCs/>
        <w:bCs/>
      </w:rPr>
      <w:fldChar w:fldCharType="end"/>
    </w:r>
    <w:r>
      <w:rPr>
        <w:i/>
        <w:iCs/>
        <w:sz w:val="16"/>
        <w:szCs w:val="16"/>
      </w:rPr>
      <w:t xml:space="preserve"> из </w:t>
    </w:r>
    <w:r>
      <w:rPr>
        <w:b/>
        <w:bCs/>
        <w:i/>
        <w:iCs/>
        <w:sz w:val="16"/>
        <w:szCs w:val="16"/>
      </w:rPr>
      <w:fldChar w:fldCharType="begin"/>
    </w:r>
    <w:r>
      <w:rPr>
        <w:sz w:val="16"/>
        <w:i/>
        <w:b/>
        <w:szCs w:val="16"/>
        <w:iCs/>
        <w:bCs/>
      </w:rPr>
      <w:instrText xml:space="preserve"> NUMPAGES \* ARABIC </w:instrText>
    </w:r>
    <w:r>
      <w:rPr>
        <w:sz w:val="16"/>
        <w:i/>
        <w:b/>
        <w:szCs w:val="16"/>
        <w:iCs/>
        <w:bCs/>
      </w:rPr>
      <w:fldChar w:fldCharType="separate"/>
    </w:r>
    <w:r>
      <w:rPr>
        <w:sz w:val="16"/>
        <w:i/>
        <w:b/>
        <w:szCs w:val="16"/>
        <w:iCs/>
        <w:bCs/>
      </w:rPr>
      <w:t>13</w:t>
    </w:r>
    <w:r>
      <w:rPr>
        <w:sz w:val="16"/>
        <w:i/>
        <w:b/>
        <w:szCs w:val="16"/>
        <w:iCs/>
        <w:bCs/>
      </w:rPr>
      <w:fldChar w:fldCharType="end"/>
    </w:r>
  </w:p>
  <w:p>
    <w:pPr>
      <w:pStyle w:val="Normal"/>
      <w:autoSpaceDE w:val="false"/>
      <w:spacing w:lineRule="auto" w:line="240" w:before="0" w:after="0"/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</w:r>
  </w:p>
  <w:p>
    <w:pPr>
      <w:pStyle w:val="Footer"/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/>
      </w:pBdr>
      <w:rPr>
        <w:rFonts w:ascii="Arial-BoldItalicMT;Times New Roman" w:hAnsi="Arial-BoldItalicMT;Times New Roman" w:cs="Arial-BoldItalicMT;Times New Roman"/>
        <w:b/>
        <w:b/>
        <w:bCs/>
        <w:i/>
        <w:i/>
        <w:iCs/>
        <w:color w:val="000000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  <w:t xml:space="preserve">АСК «Нижегородское кольцо»                                                                              Положение  Чемпионата </w:t>
    </w:r>
  </w:p>
  <w:p>
    <w:pPr>
      <w:pStyle w:val="Header"/>
      <w:pBdr>
        <w:bottom w:val="thickThinSmallGap" w:sz="24" w:space="1" w:color="622423"/>
      </w:pBdr>
      <w:rPr>
        <w:rFonts w:ascii="Cambria" w:hAnsi="Cambria" w:cs="Cambria"/>
        <w:sz w:val="16"/>
        <w:szCs w:val="16"/>
      </w:rPr>
    </w:pPr>
    <w:r>
      <w:rPr>
        <w:rFonts w:cs="Arial-BoldItalicMT;Times New Roman" w:ascii="Arial-BoldItalicMT;Times New Roman" w:hAnsi="Arial-BoldItalicMT;Times New Roman"/>
        <w:b/>
        <w:bCs/>
        <w:i/>
        <w:iCs/>
        <w:color w:val="000000"/>
        <w:sz w:val="16"/>
        <w:szCs w:val="16"/>
      </w:rPr>
      <w:t>РФСОО «ФРАМСНО»                                                                                                                                                 Нижегородской области 2021 года по АКГ</w:t>
    </w:r>
  </w:p>
  <w:p>
    <w:pPr>
      <w:pStyle w:val="Header"/>
      <w:rPr>
        <w:rFonts w:ascii="Cambria" w:hAnsi="Cambria" w:cs="Cambria"/>
        <w:sz w:val="16"/>
        <w:szCs w:val="16"/>
      </w:rPr>
    </w:pPr>
    <w:r>
      <w:rPr>
        <w:rFonts w:cs="Cambria" w:ascii="Cambria" w:hAnsi="Cambria"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/>
        <w:rFonts w:eastAsia="Arial-BoldMT;MS Minch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rFonts w:eastAsia="Arial-BoldMT;MS Mincho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/>
        <w:rFonts w:eastAsia="Arial-BoldMT;MS Minch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rFonts w:eastAsia="Arial-BoldMT;MS Minch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rFonts w:eastAsia="Arial-BoldMT;MS Minch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rFonts w:eastAsia="Arial-BoldMT;MS Minch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rFonts w:eastAsia="Arial-BoldMT;MS Mincho"/>
      </w:rPr>
    </w:lvl>
  </w:abstractNum>
  <w:abstractNum w:abstractNumId="9">
    <w:lvl w:ilvl="0">
      <w:start w:val="1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>
      <w:rFonts w:eastAsia="Arial-BoldMT;MS Mincho"/>
      <w:b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b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7z1">
    <w:name w:val="WW8Num17z1"/>
    <w:qFormat/>
    <w:rPr>
      <w:rFonts w:eastAsia="Arial-BoldMT;MS Mincho"/>
      <w:b/>
    </w:rPr>
  </w:style>
  <w:style w:type="character" w:styleId="WW8Num18z0">
    <w:name w:val="WW8Num18z0"/>
    <w:qFormat/>
    <w:rPr/>
  </w:style>
  <w:style w:type="character" w:styleId="WW8Num18z1">
    <w:name w:val="WW8Num18z1"/>
    <w:qFormat/>
    <w:rPr>
      <w:rFonts w:eastAsia="Arial-BoldMT;MS Mincho"/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>
      <w:rFonts w:eastAsia="Arial-BoldMT;MS Mincho"/>
      <w:b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>
      <w:rFonts w:eastAsia="Arial-BoldMT;MS Mincho"/>
      <w:b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>
      <w:rFonts w:eastAsia="Arial-BoldMT;MS Mincho"/>
      <w:b/>
    </w:rPr>
  </w:style>
  <w:style w:type="character" w:styleId="WW8Num27z0">
    <w:name w:val="WW8Num27z0"/>
    <w:qFormat/>
    <w:rPr>
      <w:rFonts w:ascii="Symbol" w:hAnsi="Symbol" w:eastAsia="Calibri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cs="Times New Roman"/>
    </w:rPr>
  </w:style>
  <w:style w:type="character" w:styleId="Style15">
    <w:name w:val="Нижний колонтитул Знак"/>
    <w:qFormat/>
    <w:rPr>
      <w:rFonts w:cs="Times New Roman"/>
    </w:rPr>
  </w:style>
  <w:style w:type="character" w:styleId="Style16">
    <w:name w:val="Текст выноски Знак"/>
    <w:qFormat/>
    <w:rPr>
      <w:rFonts w:ascii="Tahoma" w:hAnsi="Tahoma" w:cs="Times New Roman"/>
      <w:sz w:val="16"/>
    </w:rPr>
  </w:style>
  <w:style w:type="character" w:styleId="InternetLink">
    <w:name w:val="Hyperlink"/>
    <w:rPr>
      <w:rFonts w:cs="Times New Roman"/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qFormat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Inplace">
    <w:name w:val="inpla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17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Style18">
    <w:name w:val="Без интервала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Calibri" w:hAnsi="Calibri" w:eastAsia="Calibri" w:cs="Calibri"/>
      <w:color w:val="000000"/>
      <w:sz w:val="24"/>
      <w:szCs w:val="24"/>
      <w:lang w:val="ru-RU" w:bidi="ar-SA" w:eastAsia="zh-CN"/>
    </w:rPr>
  </w:style>
  <w:style w:type="paragraph" w:styleId="Style19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Абзац списка"/>
    <w:basedOn w:val="Normal"/>
    <w:qFormat/>
    <w:pPr>
      <w:spacing w:lineRule="auto" w:line="256" w:before="0" w:after="160"/>
      <w:ind w:left="720" w:hanging="0"/>
      <w:contextualSpacing/>
    </w:pPr>
    <w:rPr>
      <w:rFonts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://www.nring.ru/" TargetMode="External"/><Relationship Id="rId6" Type="http://schemas.openxmlformats.org/officeDocument/2006/relationships/hyperlink" Target="mailto:info@nring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2020-02-20T16:06:00Z</dcterms:created>
  <dc:creator>Гусев Дмитрий Сергеевич</dc:creator>
  <dc:description/>
  <cp:keywords/>
  <dc:language>en-US</dc:language>
  <cp:lastModifiedBy>Гусев Дмитрий Сергеевич</cp:lastModifiedBy>
  <cp:lastPrinted>2020-07-30T12:42:00Z</cp:lastPrinted>
  <dcterms:modified xsi:type="dcterms:W3CDTF">2021-03-25T11:17:00Z</dcterms:modified>
  <cp:revision>33</cp:revision>
  <dc:subject/>
  <dc:title>Регламент NLS 2018</dc:title>
</cp:coreProperties>
</file>