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40"/>
        <w:jc w:val="center"/>
      </w:pPr>
      <w:r>
        <w:rPr>
          <w:rFonts w:ascii="Arial" w:hAnsi="Arial" w:eastAsia="Arial"/>
          <w:b/>
          <w:color w:val="910000"/>
          <w:sz w:val="28"/>
        </w:rPr>
        <w:t>ADM RACEWAY TIME ATTACK</w:t>
      </w:r>
    </w:p>
    <w:p>
      <w:pPr>
        <w:spacing w:before="240"/>
        <w:jc w:val="center"/>
      </w:pPr>
      <w:r>
        <w:rPr>
          <w:rFonts w:ascii="Arial" w:hAnsi="Arial" w:eastAsia="Arial"/>
          <w:b/>
          <w:color w:val="232323"/>
          <w:sz w:val="56"/>
        </w:rPr>
        <w:t>«КАРБАНАРА КАП»</w:t>
      </w:r>
    </w:p>
    <w:p>
      <w:pPr>
        <w:spacing w:before="280"/>
        <w:jc w:val="center"/>
      </w:pPr>
      <w:r>
        <w:rPr>
          <w:rFonts w:ascii="Arial" w:hAnsi="Arial" w:eastAsia="Arial"/>
          <w:b/>
          <w:color w:val="910000"/>
          <w:sz w:val="42"/>
        </w:rPr>
        <w:t>ТЕХНИЧЕСКИЙ РЕГЛАМЕНТ</w:t>
      </w:r>
    </w:p>
    <w:p>
      <w:pPr>
        <w:spacing w:before="20" w:after="80"/>
        <w:pBdr>
          <w:bottom w:val="single" w:sz="8" w:space="1" w:color="910000"/>
        </w:pBdr>
      </w:pPr>
    </w:p>
    <w:p>
      <w:pPr>
        <w:jc w:val="center"/>
      </w:pPr>
      <w:r>
        <w:rPr>
          <w:rFonts w:ascii="Arial" w:hAnsi="Arial" w:eastAsia="Arial"/>
          <w:b/>
          <w:sz w:val="22"/>
        </w:rPr>
        <w:t>Формат соревнования: Time Attack — лучшее время круга</w:t>
      </w:r>
    </w:p>
    <w:p>
      <w:pPr>
        <w:spacing w:before="2300"/>
        <w:jc w:val="center"/>
      </w:pPr>
      <w:r>
        <w:rPr>
          <w:rFonts w:ascii="Arial" w:hAnsi="Arial" w:eastAsia="Arial"/>
          <w:color w:val="5F5F5F"/>
          <w:sz w:val="19"/>
        </w:rPr>
        <w:t>Редакция от 16 августа 2026 г.</w:t>
      </w:r>
    </w:p>
    <w:p>
      <w:r>
        <w:br w:type="page"/>
      </w:r>
    </w:p>
    <w:p>
      <w:pPr>
        <w:pStyle w:val="Heading1"/>
      </w:pPr>
      <w:r>
        <w:t>СОДЕРЖАНИЕ</w:t>
      </w:r>
    </w:p>
    <w:p>
      <w:pPr/>
      <w:r>
        <w:rPr>
          <w:rFonts w:ascii="Arial" w:hAnsi="Arial" w:eastAsia="Arial"/>
        </w:rPr>
        <w:t>1. Общие положения</w:t>
      </w:r>
    </w:p>
    <w:p>
      <w:pPr/>
      <w:r>
        <w:rPr>
          <w:rFonts w:ascii="Arial" w:hAnsi="Arial" w:eastAsia="Arial"/>
        </w:rPr>
        <w:t>2. Безопасность и технический допуск</w:t>
      </w:r>
    </w:p>
    <w:p>
      <w:pPr/>
      <w:r>
        <w:rPr>
          <w:rFonts w:ascii="Arial" w:hAnsi="Arial" w:eastAsia="Arial"/>
        </w:rPr>
        <w:t>3. Классы и принцип классификации</w:t>
      </w:r>
    </w:p>
    <w:p>
      <w:pPr/>
      <w:r>
        <w:rPr>
          <w:rFonts w:ascii="Arial" w:hAnsi="Arial" w:eastAsia="Arial"/>
        </w:rPr>
        <w:t>4. Карточка пилота и GPS-телеметрия</w:t>
      </w:r>
    </w:p>
    <w:p>
      <w:pPr/>
      <w:r>
        <w:rPr>
          <w:rFonts w:ascii="Arial" w:hAnsi="Arial" w:eastAsia="Arial"/>
        </w:rPr>
        <w:t>5. Определение фактической мощности</w:t>
      </w:r>
    </w:p>
    <w:p>
      <w:pPr/>
      <w:r>
        <w:rPr>
          <w:rFonts w:ascii="Arial" w:hAnsi="Arial" w:eastAsia="Arial"/>
        </w:rPr>
        <w:t>6. Взвешивание, масса и балласт</w:t>
      </w:r>
    </w:p>
    <w:p>
      <w:pPr/>
      <w:r>
        <w:rPr>
          <w:rFonts w:ascii="Arial" w:hAnsi="Arial" w:eastAsia="Arial"/>
        </w:rPr>
        <w:t>7. Колёса, шины и остекление</w:t>
      </w:r>
    </w:p>
    <w:p>
      <w:pPr/>
      <w:r>
        <w:rPr>
          <w:rFonts w:ascii="Arial" w:hAnsi="Arial" w:eastAsia="Arial"/>
        </w:rPr>
        <w:t>8. Технические ограничения класса СТОК</w:t>
      </w:r>
    </w:p>
    <w:p>
      <w:pPr/>
      <w:r>
        <w:rPr>
          <w:rFonts w:ascii="Arial" w:hAnsi="Arial" w:eastAsia="Arial"/>
        </w:rPr>
        <w:t>9. Технические ограничения классов СТРИТ / ЛАЙТ / ТРЕК / СПОРТ</w:t>
      </w:r>
    </w:p>
    <w:p>
      <w:pPr/>
      <w:r>
        <w:rPr>
          <w:rFonts w:ascii="Arial" w:hAnsi="Arial" w:eastAsia="Arial"/>
        </w:rPr>
        <w:t>10. Технические ограничения класса ПРО</w:t>
      </w:r>
    </w:p>
    <w:p>
      <w:pPr/>
      <w:r>
        <w:rPr>
          <w:rFonts w:ascii="Arial" w:hAnsi="Arial" w:eastAsia="Arial"/>
        </w:rPr>
        <w:t>11. Класс АБСОЛЮТ</w:t>
      </w:r>
    </w:p>
    <w:p>
      <w:pPr/>
      <w:r>
        <w:rPr>
          <w:rFonts w:ascii="Arial" w:hAnsi="Arial" w:eastAsia="Arial"/>
        </w:rPr>
        <w:t>12. Топливо и топливная система</w:t>
      </w:r>
    </w:p>
    <w:p>
      <w:pPr/>
      <w:r>
        <w:rPr>
          <w:rFonts w:ascii="Arial" w:hAnsi="Arial" w:eastAsia="Arial"/>
        </w:rPr>
        <w:t>13. Технический контроль и санкции</w:t>
      </w:r>
    </w:p>
    <w:p>
      <w:pPr/>
      <w:r>
        <w:rPr>
          <w:rFonts w:ascii="Arial" w:hAnsi="Arial" w:eastAsia="Arial"/>
        </w:rPr>
        <w:t>Приложение №1. Классификатор шин</w:t>
      </w:r>
    </w:p>
    <w:p>
      <w:r>
        <w:br w:type="page"/>
      </w:r>
    </w:p>
    <w:p>
      <w:pPr>
        <w:pStyle w:val="Heading1"/>
      </w:pPr>
      <w:r>
        <w:t>1. ОБЩИЕ ПОЛОЖЕНИЯ</w:t>
      </w:r>
    </w:p>
    <w:p>
      <w:pPr/>
      <w:r>
        <w:rPr>
          <w:rFonts w:ascii="Arial" w:hAnsi="Arial" w:eastAsia="Arial"/>
        </w:rPr>
        <w:t>1.1. Настоящий Технический регламент устанавливает требования к автомобилям, участвующим в мероприятии ADM Raceway Time Attack под названием «КАРБАНАРА КАП» (далее — Соревнование).</w:t>
      </w:r>
    </w:p>
    <w:p>
      <w:pPr/>
      <w:r>
        <w:rPr>
          <w:rFonts w:ascii="Arial" w:hAnsi="Arial" w:eastAsia="Arial"/>
        </w:rPr>
        <w:t>1.2. Соревнование проводится в формате Time Attack. Зачётным результатом пилота является лучшее время круга, показанное в официальных зачётных сессиях.</w:t>
      </w:r>
    </w:p>
    <w:p>
      <w:pPr/>
      <w:r>
        <w:rPr>
          <w:rFonts w:ascii="Arial" w:hAnsi="Arial" w:eastAsia="Arial"/>
        </w:rPr>
        <w:t>1.3. Для классов СТОК, СТРИТ, ЛАЙТ, ТРЕК, СПОРТ и ПРО допускаются четырёхколёсные автомобили, построенные на базе серийно выпускавшихся легковых автомобилей. Допускаются передний, задний и полный привод.</w:t>
      </w:r>
    </w:p>
    <w:p>
      <w:pPr/>
      <w:r>
        <w:rPr>
          <w:rFonts w:ascii="Arial" w:hAnsi="Arial" w:eastAsia="Arial"/>
        </w:rPr>
        <w:t>1.4. В классе АБСОЛЮТ допускаются автомобили с глубоко изменённой или специальной конструкцией при условии предварительного допуска Организатором и соответствия действующим требованиям безопасности ADM Raceway. Транспортные средства, для которых правила ADM Raceway предусматривают отдельное согласование, допускаются только после такого согласования.</w:t>
      </w:r>
    </w:p>
    <w:p>
      <w:pPr/>
      <w:r>
        <w:rPr>
          <w:rFonts w:ascii="Arial" w:hAnsi="Arial" w:eastAsia="Arial"/>
        </w:rPr>
        <w:t>1.5. Настоящий Регламент действует совместно с действующим Регламентом проведения мероприятий на автодроме ADM Raceway. В части допуска на трассу и требований безопасности требования ADM Raceway являются обязательными. При противоречии применяется более строгое требование.</w:t>
      </w:r>
    </w:p>
    <w:p>
      <w:pPr/>
      <w:r>
        <w:rPr>
          <w:rFonts w:ascii="Arial" w:hAnsi="Arial" w:eastAsia="Arial"/>
        </w:rPr>
        <w:t>1.6. Если для конкретного класса настоящим Регламентом не установлено иное, разрешены любые технические решения, кроме прямо запрещённых.</w:t>
      </w:r>
    </w:p>
    <w:p>
      <w:pPr/>
      <w:r>
        <w:rPr>
          <w:rFonts w:ascii="Arial" w:hAnsi="Arial" w:eastAsia="Arial"/>
        </w:rPr>
        <w:t>1.7. Организатор и технический комиссар вправе проводить контроль автомобиля до, во время и после зачётных заездов, требовать контрольное взвешивание, GPS-телеметрию, осмотр шин, узлов и агрегатов.</w:t>
      </w:r>
    </w:p>
    <w:p>
      <w:pPr/>
      <w:r>
        <w:rPr>
          <w:rFonts w:ascii="Arial" w:hAnsi="Arial" w:eastAsia="Arial"/>
        </w:rPr>
        <w:t>1.8. Участник несёт ответственность за достоверность сведений, внесённых в карточку пилота и автомобиля, и обязан сообщать об изменениях технической конфигурации, способных повлиять на мощность, массу, шины или соответствие классу.</w:t>
      </w:r>
    </w:p>
    <w:p>
      <w:pPr/>
      <w:r>
        <w:rPr>
          <w:rFonts w:ascii="Arial" w:hAnsi="Arial" w:eastAsia="Arial"/>
        </w:rPr>
        <w:t>1.9. Автомобиль может быть добровольно (по заявке участника) перенесён в более высокий класс. Обратный перенос в более низкий класс после начала этапа не производится.</w:t>
      </w:r>
    </w:p>
    <w:p>
      <w:pPr/>
      <w:r>
        <w:rPr>
          <w:rFonts w:ascii="Arial" w:hAnsi="Arial" w:eastAsia="Arial"/>
        </w:rPr>
        <w:t>1.10. Участник вправе до начала зачётных заездов направить Организатору описание, фотографии или иные материалы по спорному техническому решению для предварительного согласования. Решение действует только для фактически представленной конфигурации.</w:t>
      </w:r>
    </w:p>
    <w:p>
      <w:pPr/>
      <w:r>
        <w:rPr>
          <w:rFonts w:ascii="Arial" w:hAnsi="Arial" w:eastAsia="Arial"/>
        </w:rPr>
        <w:t>1.11. Гибридные автомобили и электромобили допускаются по отдельному предварительному решению Организатора. Их классификация определяется до начала зачётных заездов с учётом особенностей силовой установки и возможностей применяемой системы измерения мощности.</w:t>
      </w:r>
    </w:p>
    <w:p>
      <w:pPr/>
      <w:r>
        <w:rPr>
          <w:rFonts w:ascii="Arial" w:hAnsi="Arial" w:eastAsia="Arial"/>
        </w:rPr>
        <w:t>1.12. Термины:</w:t>
      </w:r>
    </w:p>
    <w:p>
      <w:pPr>
        <w:ind w:left="312" w:hanging="198"/>
      </w:pPr>
      <w:r>
        <w:rPr>
          <w:rFonts w:ascii="Arial" w:hAnsi="Arial" w:eastAsia="Arial"/>
          <w:b/>
          <w:color w:val="910000"/>
        </w:rPr>
        <w:t xml:space="preserve">• </w:t>
      </w:r>
      <w:r>
        <w:rPr>
          <w:rFonts w:ascii="Arial" w:hAnsi="Arial" w:eastAsia="Arial"/>
        </w:rPr>
        <w:t>фактическая мощность — максимальная расчётная мощность ДВС в наиболее мощном доступном режиме автомобиля, определённая ботом ПроГонки по пригодной GPS-телеметрии;</w:t>
      </w:r>
    </w:p>
    <w:p>
      <w:pPr>
        <w:ind w:left="312" w:hanging="198"/>
      </w:pPr>
      <w:r>
        <w:rPr>
          <w:rFonts w:ascii="Arial" w:hAnsi="Arial" w:eastAsia="Arial"/>
          <w:b/>
          <w:color w:val="910000"/>
        </w:rPr>
        <w:t xml:space="preserve">• </w:t>
      </w:r>
      <w:r>
        <w:rPr>
          <w:rFonts w:ascii="Arial" w:hAnsi="Arial" w:eastAsia="Arial"/>
        </w:rPr>
        <w:t>доступный режим мощности — карта ЭБУ, режим наддува или иная настройка, которую Водитель может активировать в ходе этапа без перепрограммирования ЭБУ, механического изменения автомобиля или вмешательства технического персонала;</w:t>
      </w:r>
    </w:p>
    <w:p>
      <w:pPr>
        <w:ind w:left="312" w:hanging="198"/>
      </w:pPr>
      <w:r>
        <w:rPr>
          <w:rFonts w:ascii="Arial" w:hAnsi="Arial" w:eastAsia="Arial"/>
          <w:b/>
          <w:color w:val="910000"/>
        </w:rPr>
        <w:t xml:space="preserve">• </w:t>
      </w:r>
      <w:r>
        <w:rPr>
          <w:rFonts w:ascii="Arial" w:hAnsi="Arial" w:eastAsia="Arial"/>
        </w:rPr>
        <w:t>первичная масса — масса автомобиля с пилотом, экипировкой, эксплуатационными жидкостями, остатком топлива, балластом и оборудованием, зафиксированная во время технической комиссии;</w:t>
      </w:r>
    </w:p>
    <w:p>
      <w:pPr>
        <w:ind w:left="312" w:hanging="198"/>
      </w:pPr>
      <w:r>
        <w:rPr>
          <w:rFonts w:ascii="Arial" w:hAnsi="Arial" w:eastAsia="Arial"/>
          <w:b/>
          <w:color w:val="910000"/>
        </w:rPr>
        <w:t xml:space="preserve">• </w:t>
      </w:r>
      <w:r>
        <w:rPr>
          <w:rFonts w:ascii="Arial" w:hAnsi="Arial" w:eastAsia="Arial"/>
        </w:rPr>
        <w:t>контрольная масса — масса автомобиля непосредственно после зачётной сессии без вмешательства в автомобиль до взвешивания;</w:t>
      </w:r>
    </w:p>
    <w:p>
      <w:pPr>
        <w:ind w:left="312" w:hanging="198"/>
      </w:pPr>
      <w:r>
        <w:rPr>
          <w:rFonts w:ascii="Arial" w:hAnsi="Arial" w:eastAsia="Arial"/>
          <w:b/>
          <w:color w:val="910000"/>
        </w:rPr>
        <w:t xml:space="preserve">• </w:t>
      </w:r>
      <w:r>
        <w:rPr>
          <w:rFonts w:ascii="Arial" w:hAnsi="Arial" w:eastAsia="Arial"/>
        </w:rPr>
        <w:t>зачётная конфигурация — техническое состояние автомобиля, заявленное и допущенное к зачётным заездам;</w:t>
      </w:r>
    </w:p>
    <w:p>
      <w:pPr>
        <w:ind w:left="312" w:hanging="198"/>
      </w:pPr>
      <w:r>
        <w:rPr>
          <w:rFonts w:ascii="Arial" w:hAnsi="Arial" w:eastAsia="Arial"/>
          <w:b/>
          <w:color w:val="910000"/>
        </w:rPr>
        <w:t xml:space="preserve">• </w:t>
      </w:r>
      <w:r>
        <w:rPr>
          <w:rFonts w:ascii="Arial" w:hAnsi="Arial" w:eastAsia="Arial"/>
        </w:rPr>
        <w:t>откалиброванная карточка — карточка автомобиля, содержащая корректно заполненные обязательные данные и минимум одну принятую системой калибровку мощности;</w:t>
      </w:r>
    </w:p>
    <w:p>
      <w:pPr>
        <w:ind w:left="312" w:hanging="198"/>
      </w:pPr>
      <w:r>
        <w:rPr>
          <w:rFonts w:ascii="Arial" w:hAnsi="Arial" w:eastAsia="Arial"/>
          <w:b/>
          <w:color w:val="910000"/>
        </w:rPr>
        <w:t xml:space="preserve">• </w:t>
      </w:r>
      <w:r>
        <w:rPr>
          <w:rFonts w:ascii="Arial" w:hAnsi="Arial" w:eastAsia="Arial"/>
        </w:rPr>
        <w:t>технический комиссар (техком) — уполномоченное Организатором лицо, выполняющее технический контроль.</w:t>
      </w:r>
    </w:p>
    <w:p>
      <w:pPr>
        <w:pStyle w:val="Heading1"/>
      </w:pPr>
      <w:r>
        <w:t>2. БЕЗОПАСНОСТЬ И ТЕХНИЧЕСКИЙ ДОПУСК</w:t>
      </w:r>
    </w:p>
    <w:p>
      <w:pPr>
        <w:pStyle w:val="Heading2"/>
      </w:pPr>
      <w:r>
        <w:t>2.1. Общие требования</w:t>
      </w:r>
    </w:p>
    <w:p>
      <w:pPr/>
      <w:r>
        <w:rPr>
          <w:rFonts w:ascii="Arial" w:hAnsi="Arial" w:eastAsia="Arial"/>
        </w:rPr>
        <w:t>2.1.1. Участник отвечает за исправное техническое состояние автомобиля. Прохождение технической комиссии не является гарантией безопасности и не снимает с участника ответственности.</w:t>
      </w:r>
    </w:p>
    <w:p>
      <w:pPr/>
      <w:r>
        <w:rPr>
          <w:rFonts w:ascii="Arial" w:hAnsi="Arial" w:eastAsia="Arial"/>
        </w:rPr>
        <w:t>2.1.2. До выезда на трассу автомобиль должен пройти технический осмотр.</w:t>
      </w:r>
    </w:p>
    <w:p>
      <w:pPr/>
      <w:r>
        <w:rPr>
          <w:rFonts w:ascii="Arial" w:hAnsi="Arial" w:eastAsia="Arial"/>
        </w:rPr>
        <w:t>2.1.3. К заездам не допускаются автомобили с неисправной тормозной системой, рулевым управлением, подвеской, ненадёжным креплением колёс или аккумулятора, утечками топлива, тормозной жидкости либо существенными утечками иных технических жидкостей, а также с конструкцией, создающей непосредственную опасность.</w:t>
      </w:r>
    </w:p>
    <w:p>
      <w:pPr/>
      <w:r>
        <w:rPr>
          <w:rFonts w:ascii="Arial" w:hAnsi="Arial" w:eastAsia="Arial"/>
        </w:rPr>
        <w:t>2.1.4. Автомобиль должен иметь предусмотренные конструкцией или техническими требованиями буксировочные проушины. Буксировочная точка должна быть визуально обозначена яркой контрастной стрелкой или иным хорошо заметным обозначением.</w:t>
      </w:r>
    </w:p>
    <w:p>
      <w:pPr/>
      <w:r>
        <w:rPr>
          <w:rFonts w:ascii="Arial" w:hAnsi="Arial" w:eastAsia="Arial"/>
        </w:rPr>
        <w:t>2.1.5. Обязательны исправный стоп-сигнал и не менее одного зеркала заднего вида, обеспечивающего обзор назад.</w:t>
      </w:r>
    </w:p>
    <w:p>
      <w:pPr/>
      <w:r>
        <w:rPr>
          <w:rFonts w:ascii="Arial" w:hAnsi="Arial" w:eastAsia="Arial"/>
        </w:rPr>
        <w:t>2.1.6. Незакреплённые предметы в салоне и багажном отделении запрещены. Камеры, телеметрия и иное оборудование должны быть механически надёжно закреплены.</w:t>
      </w:r>
    </w:p>
    <w:p>
      <w:pPr/>
      <w:r>
        <w:rPr>
          <w:rFonts w:ascii="Arial" w:hAnsi="Arial" w:eastAsia="Arial"/>
        </w:rPr>
        <w:t>2.1.7. Шины с видимым кордом, расслоением, грыжами или иными опасными повреждениями не допускаются.</w:t>
      </w:r>
    </w:p>
    <w:p>
      <w:pPr/>
      <w:r>
        <w:rPr>
          <w:rFonts w:ascii="Arial" w:hAnsi="Arial" w:eastAsia="Arial"/>
        </w:rPr>
        <w:t>2.1.8. После серьёзного контакта, аварии, пожара или повреждения, способного повлиять на безопасность, автомобиль подлежит повторному техническому осмотру до следующего выезда.</w:t>
      </w:r>
    </w:p>
    <w:p>
      <w:pPr>
        <w:pStyle w:val="Heading2"/>
      </w:pPr>
      <w:r>
        <w:t>2.2. Шлем и экипировка</w:t>
      </w:r>
    </w:p>
    <w:p>
      <w:pPr/>
      <w:r>
        <w:rPr>
          <w:rFonts w:ascii="Arial" w:hAnsi="Arial" w:eastAsia="Arial"/>
        </w:rPr>
        <w:t>2.2.1. Шлем обязателен. На ADM Raceway допускается шлем с минимальным стандартом — не ниже ECE R 22.05, если действующими правилами автодрома не установлены более строгие требования.</w:t>
      </w:r>
    </w:p>
    <w:p>
      <w:pPr/>
      <w:r>
        <w:rPr>
          <w:rFonts w:ascii="Arial" w:hAnsi="Arial" w:eastAsia="Arial"/>
        </w:rPr>
        <w:t>2.2.2. Закрытая одежда и закрытая обувь обязательны в объёме не ниже требований ADM Raceway.</w:t>
      </w:r>
    </w:p>
    <w:p>
      <w:pPr/>
      <w:r>
        <w:rPr>
          <w:rFonts w:ascii="Arial" w:hAnsi="Arial" w:eastAsia="Arial"/>
        </w:rPr>
        <w:t>2.2.3. Для автомобилей с каркасом безопасности экипировка Водителя и Пассажира должна соответствовать действующим требованиям ADM Raceway.</w:t>
      </w:r>
    </w:p>
    <w:p>
      <w:pPr/>
      <w:r>
        <w:rPr>
          <w:rFonts w:ascii="Arial" w:hAnsi="Arial" w:eastAsia="Arial"/>
        </w:rPr>
        <w:t>2.2.4. При отсутствии ветрового стекла используется закрытый шлем с визором в соответствии с требованиями ADM Raceway.</w:t>
      </w:r>
    </w:p>
    <w:p>
      <w:pPr>
        <w:pStyle w:val="Heading2"/>
      </w:pPr>
      <w:r>
        <w:t>2.3. Сиденья и ремни</w:t>
      </w:r>
    </w:p>
    <w:p>
      <w:pPr/>
      <w:r>
        <w:rPr>
          <w:rFonts w:ascii="Arial" w:hAnsi="Arial" w:eastAsia="Arial"/>
        </w:rPr>
        <w:t>2.3.1. Без каркаса допускается штатное сиденье со штатным исправным трёхточечным ремнём.</w:t>
      </w:r>
    </w:p>
    <w:p>
      <w:pPr/>
      <w:r>
        <w:rPr>
          <w:rFonts w:ascii="Arial" w:hAnsi="Arial" w:eastAsia="Arial"/>
        </w:rPr>
        <w:t>2.3.2. Спортивное анатомическое сиденье должно использоваться с совместимыми спортивными ремнями. Для спортивного сиденья типа «ковш» применяются спортивные четырёхточечные ремни; шеститочечные ремни настоятельно рекомендуются.</w:t>
      </w:r>
    </w:p>
    <w:p>
      <w:pPr/>
      <w:r>
        <w:rPr>
          <w:rFonts w:ascii="Arial" w:hAnsi="Arial" w:eastAsia="Arial"/>
        </w:rPr>
        <w:t>2.3.3. Нештатное спортивное сиденье и его опоры должны крепиться не менее чем в четырёх точках. Для основных болтовых соединений используются болты диаметром не менее 8 мм; рекомендуется класс прочности не ниже 8.8. Допускаются штатные точки крепления сиденья. При создании новых точек непосредственно на кузове/шасси минимальная площадь контакта опоры, кузова и контрпластины должна составлять не менее 40 см² на каждую точку. Кронштейны и салазки должны быть исправны, жёстко зафиксированы и не иметь опасных люфтов, трещин или деформаций.</w:t>
      </w:r>
    </w:p>
    <w:p>
      <w:pPr/>
      <w:r>
        <w:rPr>
          <w:rFonts w:ascii="Arial" w:hAnsi="Arial" w:eastAsia="Arial"/>
        </w:rPr>
        <w:t>2.3.4. Спортивные ремни крепятся к штатным точкам ремней безопасности либо к специально выполненным точкам на кузове, шасси или каркасе. Крепление ремней непосредственно к сиденью, салазкам или кронштейнам сиденья запрещено. Новая точка крепления ремня на кузове/шасси должна иметь стальную усиливающую пластину площадью не менее 40 см² и толщиной не менее 3 мм. Плечевые ремни допускается крепить петлёй к предназначенной для этого поперечине каркаса.</w:t>
      </w:r>
    </w:p>
    <w:p>
      <w:pPr/>
      <w:r>
        <w:rPr>
          <w:rFonts w:ascii="Arial" w:hAnsi="Arial" w:eastAsia="Arial"/>
        </w:rPr>
        <w:t>2.3.5. Лямки ремней не должны быть перекручены, повреждаться об острые кромки или проходить способом, не предусмотренным конструкцией сиденья и ремней. Направление и углы установки должны соответствовать инструкции производителя; при отсутствии специальных указаний рекомендуется руководствоваться ст. 253-6 Приложения J FIA.</w:t>
      </w:r>
    </w:p>
    <w:p>
      <w:pPr/>
      <w:r>
        <w:rPr>
          <w:rFonts w:ascii="Arial" w:hAnsi="Arial" w:eastAsia="Arial"/>
        </w:rPr>
        <w:t>2.3.6. Точки крепления сидений и ремней должны быть доступны для осмотра техническим комиссаром.</w:t>
      </w:r>
    </w:p>
    <w:p>
      <w:pPr/>
      <w:r>
        <w:rPr>
          <w:rFonts w:ascii="Arial" w:hAnsi="Arial" w:eastAsia="Arial"/>
        </w:rPr>
        <w:t>2.3.7. Повреждённые, имеющие надрывы, выраженное истирание, деформацию металлических деталей либо неправильно установленные ремни не допускаются.</w:t>
      </w:r>
    </w:p>
    <w:p>
      <w:pPr/>
      <w:r>
        <w:t>2.3.8. Допускается использование спортивных сидений и спортивных ремней безопасности с истёкшим сроком омологации FIA или РАФ не более чем на 5 календарных лет на дату проведения этапа при условии их исправного технического состояния, отсутствия повреждений и соответствия требованиям настоящего Регламента. Маркировка оборудования должна позволять определить срок действия омологации. Истечение срока омологации в пределах указанного периода само по себе не является основанием для отказа в допуске. Оборудование с истёкшим сроком омологации более чем на 5 лет не допускается. Если изготовителем установлен более строгий предельный срок эксплуатации, применяется требование изготовителя.</w:t>
      </w:r>
    </w:p>
    <w:p>
      <w:pPr/>
      <w:r>
        <w:rPr>
          <w:rFonts w:ascii="Arial" w:hAnsi="Arial" w:eastAsia="Arial"/>
        </w:rPr>
        <w:t>2.3.9. Удаление подушки безопасности или установка спортивного рулевого колеса само по себе не требует установки спортивных ремней при сохранении штатного сиденья и исправного штатного трёхточечного ремня.</w:t>
      </w:r>
    </w:p>
    <w:p>
      <w:pPr>
        <w:pStyle w:val="Heading2"/>
      </w:pPr>
      <w:r>
        <w:t>2.4. Каркас безопасности</w:t>
      </w:r>
    </w:p>
    <w:p>
      <w:pPr/>
      <w:r>
        <w:rPr>
          <w:rFonts w:ascii="Arial" w:hAnsi="Arial" w:eastAsia="Arial"/>
        </w:rPr>
        <w:t>2.4.1. Требования к допуску автомобилей с каркасом безопасности и экипировке находящихся в них Водителя и Пассажира определяются действующим Регламентом проведения мероприятий на ADM Raceway.</w:t>
      </w:r>
    </w:p>
    <w:p>
      <w:pPr/>
      <w:r>
        <w:rPr>
          <w:rFonts w:ascii="Arial" w:hAnsi="Arial" w:eastAsia="Arial"/>
        </w:rPr>
        <w:t>2.4.2. При удалении штатной боковой защиты, усилителей передних дверей либо применении облегчённых передних дверей наличие каркаса безопасности с боковой защитой обязательно.</w:t>
      </w:r>
    </w:p>
    <w:p>
      <w:pPr/>
      <w:r>
        <w:rPr>
          <w:rFonts w:ascii="Arial" w:hAnsi="Arial" w:eastAsia="Arial"/>
        </w:rPr>
        <w:t>2.4.3. Конструкция и установка каркаса не должны создавать угрозу Водителю или Пассажиру и должны соответствовать условиям допуска автомобиля на трассу ADM Raceway.</w:t>
      </w:r>
    </w:p>
    <w:p>
      <w:pPr>
        <w:pStyle w:val="Heading2"/>
      </w:pPr>
      <w:r>
        <w:t>2.5. Средства пожаротушения</w:t>
      </w:r>
    </w:p>
    <w:p>
      <w:pPr/>
      <w:r>
        <w:rPr>
          <w:rFonts w:ascii="Arial" w:hAnsi="Arial" w:eastAsia="Arial"/>
        </w:rPr>
        <w:t>2.5.1. Наличие бортового огнетушителя или стационарной системы пожаротушения рекомендуется, но не является обязательным, если иное не установлено действующими требованиями ADM Raceway для конкретного автомобиля.</w:t>
      </w:r>
    </w:p>
    <w:p>
      <w:pPr/>
      <w:r>
        <w:rPr>
          <w:rFonts w:ascii="Arial" w:hAnsi="Arial" w:eastAsia="Arial"/>
        </w:rPr>
        <w:t>2.5.2. Если огнетушитель находится в автомобиле, он должен быть исправен и надёжно закреплён.</w:t>
      </w:r>
    </w:p>
    <w:p>
      <w:pPr/>
      <w:r>
        <w:rPr>
          <w:rFonts w:ascii="Arial" w:hAnsi="Arial" w:eastAsia="Arial"/>
        </w:rPr>
        <w:t>2.5.3. При возгорании или иной опасной неисправности Водитель обязан остановить автомобиль в максимально безопасном месте, покинуть его и следовать требованиям безопасности ADM Raceway и указаниям судей/маршалов. Самостоятельное тушение автомобиля Водителем настоящим Регламентом не предписывается.</w:t>
      </w:r>
    </w:p>
    <w:p>
      <w:pPr>
        <w:pStyle w:val="Heading2"/>
      </w:pPr>
      <w:r>
        <w:t>2.6. Открытые автомобили и окна</w:t>
      </w:r>
    </w:p>
    <w:p>
      <w:pPr/>
      <w:r>
        <w:rPr>
          <w:rFonts w:ascii="Arial" w:hAnsi="Arial" w:eastAsia="Arial"/>
        </w:rPr>
        <w:t>2.6.1. Автомобили с открытым кузовом должны иметь заводскую или специально установленную систему защиты при опрокидывании, признанную достаточной для допуска на трассу.</w:t>
      </w:r>
    </w:p>
    <w:p>
      <w:pPr/>
      <w:r>
        <w:rPr>
          <w:rFonts w:ascii="Arial" w:hAnsi="Arial" w:eastAsia="Arial"/>
        </w:rPr>
        <w:t>2.6.2. Крыша автомобиля с кузовом «кабриолет» должна быть закрыта в соответствии с требованиями ADM Raceway.</w:t>
      </w:r>
    </w:p>
    <w:p>
      <w:pPr/>
      <w:r>
        <w:rPr>
          <w:rFonts w:ascii="Arial" w:hAnsi="Arial" w:eastAsia="Arial"/>
        </w:rPr>
        <w:t>2.6.3. При отсутствии защитной сетки или ограничителей подвижности рук окно со стороны Водителя, а при наличии Пассажира — и с его стороны, должно быть закрыто в соответствии с требованиями ADM Raceway.</w:t>
      </w:r>
    </w:p>
    <w:p>
      <w:pPr>
        <w:pStyle w:val="Heading1"/>
      </w:pPr>
      <w:r>
        <w:t>3. КЛАССЫ И ПРИНЦИП КЛАССИФИКАЦИИ</w:t>
      </w:r>
    </w:p>
    <w:p>
      <w:pPr/>
      <w:r>
        <w:rPr>
          <w:rFonts w:ascii="Arial" w:hAnsi="Arial" w:eastAsia="Arial"/>
        </w:rPr>
        <w:t>3.1. Основной расчётный показатель — коэффициент массы к мощности:</w:t>
      </w:r>
    </w:p>
    <w:p>
      <w:pPr>
        <w:jc w:val="center"/>
      </w:pPr>
      <w:r>
        <w:rPr>
          <w:rFonts w:ascii="Arial" w:hAnsi="Arial" w:eastAsia="Arial"/>
          <w:b/>
          <w:color w:val="910000"/>
          <w:sz w:val="28"/>
        </w:rPr>
        <w:t>К = M / P</w:t>
      </w:r>
    </w:p>
    <w:p>
      <w:pPr/>
      <w:r>
        <w:rPr>
          <w:rFonts w:ascii="Arial" w:hAnsi="Arial" w:eastAsia="Arial"/>
        </w:rPr>
        <w:t>где M — используемая для расчёта масса автомобиля с пилотом, кг; P — фактическая мощность ДВС, л.с.; К — кг/л.с.</w:t>
      </w:r>
    </w:p>
    <w:p>
      <w:pPr/>
      <w:r>
        <w:rPr>
          <w:rFonts w:ascii="Arial" w:hAnsi="Arial" w:eastAsia="Arial"/>
        </w:rPr>
        <w:t>3.2. Отдельные поправочные коэффициенты за тип привода, турбонаддув, механический компрессор, коробку передач, модель автомобиля или степень доработки не применяются.</w:t>
      </w:r>
    </w:p>
    <w:tbl>
      <w:tblPr>
        <w:tblW w:type="auto" w:w="0"/>
        <w:jc w:val="center"/>
        <w:tblLayout w:type="autofit"/>
        <w:tblLook w:firstColumn="1" w:firstRow="1" w:lastColumn="0" w:lastRow="0" w:noHBand="0" w:noVBand="1" w:val="04A0"/>
      </w:tblPr>
      <w:tblGrid>
        <w:gridCol w:w="2040"/>
        <w:gridCol w:w="2040"/>
        <w:gridCol w:w="2040"/>
        <w:gridCol w:w="2040"/>
        <w:gridCol w:w="2040"/>
      </w:tblGrid>
      <w:tr>
        <w:trPr>
          <w:tblHeader w:val="true"/>
        </w:trPr>
        <w:tc>
          <w:tcPr>
            <w:tcW w:type="dxa" w:w="2040"/>
            <w:vAlign w:val="center"/>
            <w:tcMar>
              <w:top w:w="45" w:type="dxa"/>
              <w:start w:w="45" w:type="dxa"/>
              <w:bottom w:w="45" w:type="dxa"/>
              <w:end w:w="45" w:type="dxa"/>
            </w:tcMar>
            <w:shd w:fill="333333"/>
          </w:tcPr>
          <w:p>
            <w:pPr>
              <w:spacing w:after="0" w:before="0"/>
            </w:pPr>
            <w:r>
              <w:rPr>
                <w:rFonts w:ascii="Arial" w:hAnsi="Arial" w:eastAsia="Arial"/>
                <w:b/>
                <w:color w:val="FFFFFF"/>
                <w:sz w:val="16"/>
              </w:rPr>
              <w:t>Класс</w:t>
            </w:r>
          </w:p>
        </w:tc>
        <w:tc>
          <w:tcPr>
            <w:tcW w:type="dxa" w:w="2040"/>
            <w:vAlign w:val="center"/>
            <w:tcMar>
              <w:top w:w="45" w:type="dxa"/>
              <w:start w:w="45" w:type="dxa"/>
              <w:bottom w:w="45" w:type="dxa"/>
              <w:end w:w="45" w:type="dxa"/>
            </w:tcMar>
            <w:shd w:fill="333333"/>
          </w:tcPr>
          <w:p>
            <w:pPr>
              <w:spacing w:after="0" w:before="0"/>
            </w:pPr>
            <w:r>
              <w:rPr>
                <w:rFonts w:ascii="Arial" w:hAnsi="Arial" w:eastAsia="Arial"/>
                <w:b/>
                <w:color w:val="FFFFFF"/>
                <w:sz w:val="16"/>
              </w:rPr>
              <w:t>Минимальный К, кг/л.с.</w:t>
            </w:r>
          </w:p>
        </w:tc>
        <w:tc>
          <w:tcPr>
            <w:tcW w:type="dxa" w:w="2040"/>
            <w:vAlign w:val="center"/>
            <w:tcMar>
              <w:top w:w="45" w:type="dxa"/>
              <w:start w:w="45" w:type="dxa"/>
              <w:bottom w:w="45" w:type="dxa"/>
              <w:end w:w="45" w:type="dxa"/>
            </w:tcMar>
            <w:shd w:fill="333333"/>
          </w:tcPr>
          <w:p>
            <w:pPr>
              <w:spacing w:after="0" w:before="0"/>
            </w:pPr>
            <w:r>
              <w:rPr>
                <w:rFonts w:ascii="Arial" w:hAnsi="Arial" w:eastAsia="Arial"/>
                <w:b/>
                <w:color w:val="FFFFFF"/>
                <w:sz w:val="16"/>
              </w:rPr>
              <w:t>Макс. мощность</w:t>
            </w:r>
          </w:p>
        </w:tc>
        <w:tc>
          <w:tcPr>
            <w:tcW w:type="dxa" w:w="2040"/>
            <w:vAlign w:val="center"/>
            <w:tcMar>
              <w:top w:w="45" w:type="dxa"/>
              <w:start w:w="45" w:type="dxa"/>
              <w:bottom w:w="45" w:type="dxa"/>
              <w:end w:w="45" w:type="dxa"/>
            </w:tcMar>
            <w:shd w:fill="333333"/>
          </w:tcPr>
          <w:p>
            <w:pPr>
              <w:spacing w:after="0" w:before="0"/>
            </w:pPr>
            <w:r>
              <w:rPr>
                <w:rFonts w:ascii="Arial" w:hAnsi="Arial" w:eastAsia="Arial"/>
                <w:b/>
                <w:color w:val="FFFFFF"/>
                <w:sz w:val="16"/>
              </w:rPr>
              <w:t>Разрешённые шины</w:t>
            </w:r>
          </w:p>
        </w:tc>
        <w:tc>
          <w:tcPr>
            <w:tcW w:type="dxa" w:w="2040"/>
            <w:vAlign w:val="center"/>
            <w:tcMar>
              <w:top w:w="45" w:type="dxa"/>
              <w:start w:w="45" w:type="dxa"/>
              <w:bottom w:w="45" w:type="dxa"/>
              <w:end w:w="45" w:type="dxa"/>
            </w:tcMar>
            <w:shd w:fill="333333"/>
          </w:tcPr>
          <w:p>
            <w:pPr>
              <w:spacing w:after="0" w:before="0"/>
            </w:pPr>
            <w:r>
              <w:rPr>
                <w:rFonts w:ascii="Arial" w:hAnsi="Arial" w:eastAsia="Arial"/>
                <w:b/>
                <w:color w:val="FFFFFF"/>
                <w:sz w:val="16"/>
              </w:rPr>
              <w:t>Макс. ширина</w:t>
            </w:r>
          </w:p>
        </w:tc>
      </w:tr>
      <w:tr>
        <w:tc>
          <w:tcPr>
            <w:tcW w:type="dxa" w:w="2040"/>
            <w:vAlign w:val="center"/>
            <w:tcMar>
              <w:top w:w="45" w:type="dxa"/>
              <w:start w:w="45" w:type="dxa"/>
              <w:bottom w:w="45" w:type="dxa"/>
              <w:end w:w="45" w:type="dxa"/>
            </w:tcMar>
          </w:tcPr>
          <w:p>
            <w:pPr>
              <w:spacing w:after="0" w:before="0"/>
            </w:pPr>
            <w:r>
              <w:rPr>
                <w:rFonts w:ascii="Arial" w:hAnsi="Arial" w:eastAsia="Arial"/>
                <w:b/>
                <w:color w:val="232323"/>
                <w:sz w:val="16"/>
              </w:rPr>
              <w:t>СТОК</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11,0</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120 л.с.</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ROAD, TW ≥300</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штатная +20 мм</w:t>
            </w:r>
          </w:p>
        </w:tc>
      </w:tr>
      <w:tr>
        <w:tc>
          <w:tcPr>
            <w:tcW w:type="dxa" w:w="2040"/>
            <w:vAlign w:val="center"/>
            <w:tcMar>
              <w:top w:w="45" w:type="dxa"/>
              <w:start w:w="45" w:type="dxa"/>
              <w:bottom w:w="45" w:type="dxa"/>
              <w:end w:w="45" w:type="dxa"/>
            </w:tcMar>
            <w:shd w:fill="F4F4F4"/>
          </w:tcPr>
          <w:p>
            <w:pPr>
              <w:spacing w:after="0" w:before="0"/>
            </w:pPr>
            <w:r>
              <w:rPr>
                <w:rFonts w:ascii="Arial" w:hAnsi="Arial" w:eastAsia="Arial"/>
                <w:b/>
                <w:color w:val="232323"/>
                <w:sz w:val="16"/>
              </w:rPr>
              <w:t>СТРИТ</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9,2</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ROAD + UHP</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225 мм</w:t>
            </w:r>
          </w:p>
        </w:tc>
      </w:tr>
      <w:tr>
        <w:tc>
          <w:tcPr>
            <w:tcW w:type="dxa" w:w="2040"/>
            <w:vAlign w:val="center"/>
            <w:tcMar>
              <w:top w:w="45" w:type="dxa"/>
              <w:start w:w="45" w:type="dxa"/>
              <w:bottom w:w="45" w:type="dxa"/>
              <w:end w:w="45" w:type="dxa"/>
            </w:tcMar>
          </w:tcPr>
          <w:p>
            <w:pPr>
              <w:spacing w:after="0" w:before="0"/>
            </w:pPr>
            <w:r>
              <w:rPr>
                <w:rFonts w:ascii="Arial" w:hAnsi="Arial" w:eastAsia="Arial"/>
                <w:b/>
                <w:color w:val="232323"/>
                <w:sz w:val="16"/>
              </w:rPr>
              <w:t>ЛАЙТ</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7,2</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160 л.с.</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ROAD + UHP</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235 мм</w:t>
            </w:r>
          </w:p>
        </w:tc>
      </w:tr>
      <w:tr>
        <w:tc>
          <w:tcPr>
            <w:tcW w:type="dxa" w:w="2040"/>
            <w:vAlign w:val="center"/>
            <w:tcMar>
              <w:top w:w="45" w:type="dxa"/>
              <w:start w:w="45" w:type="dxa"/>
              <w:bottom w:w="45" w:type="dxa"/>
              <w:end w:w="45" w:type="dxa"/>
            </w:tcMar>
            <w:shd w:fill="F4F4F4"/>
          </w:tcPr>
          <w:p>
            <w:pPr>
              <w:spacing w:after="0" w:before="0"/>
            </w:pPr>
            <w:r>
              <w:rPr>
                <w:rFonts w:ascii="Arial" w:hAnsi="Arial" w:eastAsia="Arial"/>
                <w:b/>
                <w:color w:val="232323"/>
                <w:sz w:val="16"/>
              </w:rPr>
              <w:t>ТРЕК</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6,1</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ROAD + UHP + TRACK</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245 мм</w:t>
            </w:r>
          </w:p>
        </w:tc>
      </w:tr>
      <w:tr>
        <w:tc>
          <w:tcPr>
            <w:tcW w:type="dxa" w:w="2040"/>
            <w:vAlign w:val="center"/>
            <w:tcMar>
              <w:top w:w="45" w:type="dxa"/>
              <w:start w:w="45" w:type="dxa"/>
              <w:bottom w:w="45" w:type="dxa"/>
              <w:end w:w="45" w:type="dxa"/>
            </w:tcMar>
          </w:tcPr>
          <w:p>
            <w:pPr>
              <w:spacing w:after="0" w:before="0"/>
            </w:pPr>
            <w:r>
              <w:rPr>
                <w:rFonts w:ascii="Arial" w:hAnsi="Arial" w:eastAsia="Arial"/>
                <w:b/>
                <w:color w:val="232323"/>
                <w:sz w:val="16"/>
              </w:rPr>
              <w:t>СПОРТ</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4,4</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ROAD + UHP + TRACK</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255 мм</w:t>
            </w:r>
          </w:p>
        </w:tc>
      </w:tr>
      <w:tr>
        <w:tc>
          <w:tcPr>
            <w:tcW w:type="dxa" w:w="2040"/>
            <w:vAlign w:val="center"/>
            <w:tcMar>
              <w:top w:w="45" w:type="dxa"/>
              <w:start w:w="45" w:type="dxa"/>
              <w:bottom w:w="45" w:type="dxa"/>
              <w:end w:w="45" w:type="dxa"/>
            </w:tcMar>
            <w:shd w:fill="F4F4F4"/>
          </w:tcPr>
          <w:p>
            <w:pPr>
              <w:spacing w:after="0" w:before="0"/>
            </w:pPr>
            <w:r>
              <w:rPr>
                <w:rFonts w:ascii="Arial" w:hAnsi="Arial" w:eastAsia="Arial"/>
                <w:b/>
                <w:color w:val="232323"/>
                <w:sz w:val="16"/>
              </w:rPr>
              <w:t>ПРО</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3,5</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350 л.с.</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включая SLICK</w:t>
            </w:r>
          </w:p>
        </w:tc>
        <w:tc>
          <w:tcPr>
            <w:tcW w:type="dxa" w:w="2040"/>
            <w:vAlign w:val="center"/>
            <w:tcMar>
              <w:top w:w="45" w:type="dxa"/>
              <w:start w:w="45" w:type="dxa"/>
              <w:bottom w:w="45" w:type="dxa"/>
              <w:end w:w="45" w:type="dxa"/>
            </w:tcMar>
            <w:shd w:fill="F4F4F4"/>
          </w:tcPr>
          <w:p>
            <w:pPr>
              <w:spacing w:after="0" w:before="0"/>
            </w:pPr>
            <w:r>
              <w:rPr>
                <w:rFonts w:ascii="Arial" w:hAnsi="Arial" w:eastAsia="Arial"/>
                <w:b w:val="0"/>
                <w:color w:val="232323"/>
                <w:sz w:val="16"/>
              </w:rPr>
              <w:t>без ограничения</w:t>
            </w:r>
          </w:p>
        </w:tc>
      </w:tr>
      <w:tr>
        <w:tc>
          <w:tcPr>
            <w:tcW w:type="dxa" w:w="2040"/>
            <w:vAlign w:val="center"/>
            <w:tcMar>
              <w:top w:w="45" w:type="dxa"/>
              <w:start w:w="45" w:type="dxa"/>
              <w:bottom w:w="45" w:type="dxa"/>
              <w:end w:w="45" w:type="dxa"/>
            </w:tcMar>
          </w:tcPr>
          <w:p>
            <w:pPr>
              <w:spacing w:after="0" w:before="0"/>
            </w:pPr>
            <w:r>
              <w:rPr>
                <w:rFonts w:ascii="Arial" w:hAnsi="Arial" w:eastAsia="Arial"/>
                <w:b/>
                <w:color w:val="232323"/>
                <w:sz w:val="16"/>
              </w:rPr>
              <w:t>АБСОЛЮТ</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без ограничения</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без ограничения</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любые</w:t>
            </w:r>
          </w:p>
        </w:tc>
        <w:tc>
          <w:tcPr>
            <w:tcW w:type="dxa" w:w="2040"/>
            <w:vAlign w:val="center"/>
            <w:tcMar>
              <w:top w:w="45" w:type="dxa"/>
              <w:start w:w="45" w:type="dxa"/>
              <w:bottom w:w="45" w:type="dxa"/>
              <w:end w:w="45" w:type="dxa"/>
            </w:tcMar>
          </w:tcPr>
          <w:p>
            <w:pPr>
              <w:spacing w:after="0" w:before="0"/>
            </w:pPr>
            <w:r>
              <w:rPr>
                <w:rFonts w:ascii="Arial" w:hAnsi="Arial" w:eastAsia="Arial"/>
                <w:b w:val="0"/>
                <w:color w:val="232323"/>
                <w:sz w:val="16"/>
              </w:rPr>
              <w:t>без ограничения</w:t>
            </w:r>
          </w:p>
        </w:tc>
      </w:tr>
    </w:tbl>
    <w:p>
      <w:pPr/>
      <w:r>
        <w:rPr>
          <w:rFonts w:ascii="Arial" w:hAnsi="Arial" w:eastAsia="Arial"/>
        </w:rPr>
        <w:t>3.3. Для допуска в класс автомобиль должен одновременно соответствовать минимальному коэффициенту К, лимиту мощности (если установлен), категории и ширине шин, а также техническим ограничениям класса.</w:t>
      </w:r>
    </w:p>
    <w:p>
      <w:pPr/>
      <w:r>
        <w:rPr>
          <w:rFonts w:ascii="Arial" w:hAnsi="Arial" w:eastAsia="Arial"/>
        </w:rPr>
        <w:t>3.4. До начала зачётных заездов бот ПроГонки определяет предварительный класс по имеющимся подтверждённым данным. Изменение класса по инициативе технического контроля производится только вследствие расчёта коэффициента К. Добровольный перенос вверх осуществляется по заявке участника согласно п. 1.9.</w:t>
      </w:r>
    </w:p>
    <w:p>
      <w:pPr/>
      <w:r>
        <w:rPr>
          <w:rFonts w:ascii="Arial" w:hAnsi="Arial" w:eastAsia="Arial"/>
        </w:rPr>
        <w:t>3.5. Если после контрольных измерений коэффициент К оказывается ниже минимального значения заявленного класса, результат автоматически переносится в ближайший более высокий класс, требованиям которого автомобиль соответствует. Такой перенос не является дисквалификацией.</w:t>
      </w:r>
    </w:p>
    <w:p>
      <w:pPr/>
      <w:r>
        <w:rPr>
          <w:rFonts w:ascii="Arial" w:hAnsi="Arial" w:eastAsia="Arial"/>
        </w:rPr>
        <w:t>3.6. Автоматический перенос применяется только при несоответствии коэффициенту К. Нарушение любого иного требования класса регулируется разделом 13.</w:t>
      </w:r>
    </w:p>
    <w:p>
      <w:pPr/>
      <w:r>
        <w:rPr>
          <w:rFonts w:ascii="Arial" w:hAnsi="Arial" w:eastAsia="Arial"/>
        </w:rPr>
        <w:t>3.7. Проверка мощности и коэффициента К производится по исходным расчётным значениям системы до визуального округления. Округлённые значения в карточке носят информационный характер.</w:t>
      </w:r>
    </w:p>
    <w:p>
      <w:pPr>
        <w:pStyle w:val="Heading1"/>
      </w:pPr>
      <w:r>
        <w:t>4. КАРТОЧКА ПИЛОТА И GPS-ТЕЛЕМЕТРИЯ</w:t>
      </w:r>
    </w:p>
    <w:p>
      <w:pPr/>
      <w:r>
        <w:rPr>
          <w:rFonts w:ascii="Arial" w:hAnsi="Arial" w:eastAsia="Arial"/>
        </w:rPr>
        <w:t>4.1. Для каждой пары «пилот — автомобиль» ведётся отдельная электронная зачётная карточка в системе ПроГонки.</w:t>
      </w:r>
    </w:p>
    <w:p>
      <w:pPr/>
      <w:r>
        <w:rPr>
          <w:rFonts w:ascii="Arial" w:hAnsi="Arial" w:eastAsia="Arial"/>
        </w:rPr>
        <w:t>4.2. В карточке фиксируются как минимум:</w:t>
      </w:r>
    </w:p>
    <w:p>
      <w:pPr>
        <w:ind w:left="312" w:hanging="198"/>
      </w:pPr>
      <w:r>
        <w:rPr>
          <w:rFonts w:ascii="Arial" w:hAnsi="Arial" w:eastAsia="Arial"/>
          <w:b/>
          <w:color w:val="910000"/>
        </w:rPr>
        <w:t xml:space="preserve">• </w:t>
      </w:r>
      <w:r>
        <w:rPr>
          <w:rFonts w:ascii="Arial" w:hAnsi="Arial" w:eastAsia="Arial"/>
        </w:rPr>
        <w:t>пилот и автомобиль;</w:t>
      </w:r>
    </w:p>
    <w:p>
      <w:pPr>
        <w:ind w:left="312" w:hanging="198"/>
      </w:pPr>
      <w:r>
        <w:rPr>
          <w:rFonts w:ascii="Arial" w:hAnsi="Arial" w:eastAsia="Arial"/>
          <w:b/>
          <w:color w:val="910000"/>
        </w:rPr>
        <w:t xml:space="preserve">• </w:t>
      </w:r>
      <w:r>
        <w:rPr>
          <w:rFonts w:ascii="Arial" w:hAnsi="Arial" w:eastAsia="Arial"/>
        </w:rPr>
        <w:t>описание актуальной технической конфигурации;</w:t>
      </w:r>
    </w:p>
    <w:p>
      <w:pPr>
        <w:ind w:left="312" w:hanging="198"/>
      </w:pPr>
      <w:r>
        <w:rPr>
          <w:rFonts w:ascii="Arial" w:hAnsi="Arial" w:eastAsia="Arial"/>
          <w:b/>
          <w:color w:val="910000"/>
        </w:rPr>
        <w:t xml:space="preserve">• </w:t>
      </w:r>
      <w:r>
        <w:rPr>
          <w:rFonts w:ascii="Arial" w:hAnsi="Arial" w:eastAsia="Arial"/>
        </w:rPr>
        <w:t>доступные карты/режимы мощности и наиболее мощный доступный режим;</w:t>
      </w:r>
    </w:p>
    <w:p>
      <w:pPr>
        <w:ind w:left="312" w:hanging="198"/>
      </w:pPr>
      <w:r>
        <w:rPr>
          <w:rFonts w:ascii="Arial" w:hAnsi="Arial" w:eastAsia="Arial"/>
          <w:b/>
          <w:color w:val="910000"/>
        </w:rPr>
        <w:t xml:space="preserve">• </w:t>
      </w:r>
      <w:r>
        <w:rPr>
          <w:rFonts w:ascii="Arial" w:hAnsi="Arial" w:eastAsia="Arial"/>
        </w:rPr>
        <w:t>фактическая мощность;</w:t>
      </w:r>
    </w:p>
    <w:p>
      <w:pPr>
        <w:ind w:left="312" w:hanging="198"/>
      </w:pPr>
      <w:r>
        <w:rPr>
          <w:rFonts w:ascii="Arial" w:hAnsi="Arial" w:eastAsia="Arial"/>
          <w:b/>
          <w:color w:val="910000"/>
        </w:rPr>
        <w:t xml:space="preserve">• </w:t>
      </w:r>
      <w:r>
        <w:rPr>
          <w:rFonts w:ascii="Arial" w:hAnsi="Arial" w:eastAsia="Arial"/>
        </w:rPr>
        <w:t>используемая масса;</w:t>
      </w:r>
    </w:p>
    <w:p>
      <w:pPr>
        <w:ind w:left="312" w:hanging="198"/>
      </w:pPr>
      <w:r>
        <w:rPr>
          <w:rFonts w:ascii="Arial" w:hAnsi="Arial" w:eastAsia="Arial"/>
          <w:b/>
          <w:color w:val="910000"/>
        </w:rPr>
        <w:t xml:space="preserve">• </w:t>
      </w:r>
      <w:r>
        <w:rPr>
          <w:rFonts w:ascii="Arial" w:hAnsi="Arial" w:eastAsia="Arial"/>
        </w:rPr>
        <w:t>коэффициент К;</w:t>
      </w:r>
    </w:p>
    <w:p>
      <w:pPr>
        <w:ind w:left="312" w:hanging="198"/>
      </w:pPr>
      <w:r>
        <w:rPr>
          <w:rFonts w:ascii="Arial" w:hAnsi="Arial" w:eastAsia="Arial"/>
          <w:b/>
          <w:color w:val="910000"/>
        </w:rPr>
        <w:t xml:space="preserve">• </w:t>
      </w:r>
      <w:r>
        <w:rPr>
          <w:rFonts w:ascii="Arial" w:hAnsi="Arial" w:eastAsia="Arial"/>
        </w:rPr>
        <w:t>используемые шины и их размер;</w:t>
      </w:r>
    </w:p>
    <w:p>
      <w:pPr>
        <w:ind w:left="312" w:hanging="198"/>
      </w:pPr>
      <w:r>
        <w:rPr>
          <w:rFonts w:ascii="Arial" w:hAnsi="Arial" w:eastAsia="Arial"/>
          <w:b/>
          <w:color w:val="910000"/>
        </w:rPr>
        <w:t xml:space="preserve">• </w:t>
      </w:r>
      <w:r>
        <w:rPr>
          <w:rFonts w:ascii="Arial" w:hAnsi="Arial" w:eastAsia="Arial"/>
        </w:rPr>
        <w:t>рассчитанный/подтверждённый класс;</w:t>
      </w:r>
    </w:p>
    <w:p>
      <w:pPr>
        <w:ind w:left="312" w:hanging="198"/>
      </w:pPr>
      <w:r>
        <w:rPr>
          <w:rFonts w:ascii="Arial" w:hAnsi="Arial" w:eastAsia="Arial"/>
          <w:b/>
          <w:color w:val="910000"/>
        </w:rPr>
        <w:t xml:space="preserve">• </w:t>
      </w:r>
      <w:r>
        <w:rPr>
          <w:rFonts w:ascii="Arial" w:hAnsi="Arial" w:eastAsia="Arial"/>
        </w:rPr>
        <w:t>история принятых калибровок и контрольных измерений.</w:t>
      </w:r>
    </w:p>
    <w:p>
      <w:pPr/>
      <w:r>
        <w:rPr>
          <w:rFonts w:ascii="Arial" w:hAnsi="Arial" w:eastAsia="Arial"/>
        </w:rPr>
        <w:t>4.3. Карточка считается откалиброванной, если обязательные данные заполнены корректно и имеется хотя бы одна принятая GPS-телеметрия данного автомобиля, по которой бот ПроГонки определил мощность ДВС.</w:t>
      </w:r>
    </w:p>
    <w:p>
      <w:pPr/>
      <w:r>
        <w:rPr>
          <w:rFonts w:ascii="Arial" w:hAnsi="Arial" w:eastAsia="Arial"/>
        </w:rPr>
        <w:t>4.4. Для первоначальной калибровки допускается телеметрия с другой трассы при условии той же технической конфигурации и соответствия требованиям к качеству данных.</w:t>
      </w:r>
    </w:p>
    <w:p>
      <w:pPr/>
      <w:r>
        <w:rPr>
          <w:rFonts w:ascii="Arial" w:hAnsi="Arial" w:eastAsia="Arial"/>
        </w:rPr>
        <w:t>4.5. При изменении двигателя, ЭБУ, давления наддува, топлива, карт мощности или иных параметров, способных изменить максимальную доступную мощность, участник обязан обозначить новую конфигурацию и пройти повторную калибровку.</w:t>
      </w:r>
    </w:p>
    <w:p>
      <w:pPr/>
      <w:r>
        <w:rPr>
          <w:rFonts w:ascii="Arial" w:hAnsi="Arial" w:eastAsia="Arial"/>
        </w:rPr>
        <w:t>4.6. Если карточка не откалибрована, класс до получения пригодной телеметрии является предварительным.</w:t>
      </w:r>
    </w:p>
    <w:p>
      <w:pPr/>
      <w:r>
        <w:rPr>
          <w:rFonts w:ascii="Arial" w:hAnsi="Arial" w:eastAsia="Arial"/>
        </w:rPr>
        <w:t>4.7. Если один автомобиль используется несколькими пилотами, подтверждённая калибровка мощности может использоваться всеми пилотами при неизменной технической конфигурации. Масса, коэффициент К, пассажир-балласт и класс определяются отдельно для каждого пилота.</w:t>
      </w:r>
    </w:p>
    <w:p>
      <w:pPr>
        <w:pStyle w:val="Heading2"/>
      </w:pPr>
      <w:r>
        <w:t>4.8. Требования к GPS</w:t>
      </w:r>
    </w:p>
    <w:p>
      <w:pPr/>
      <w:r>
        <w:rPr>
          <w:rFonts w:ascii="Arial" w:hAnsi="Arial" w:eastAsia="Arial"/>
        </w:rPr>
        <w:t>4.8.1. Для расчёта мощности принимается телеметрия, записанная GPS-устройством с частотой не менее 10 Гц.</w:t>
      </w:r>
    </w:p>
    <w:p>
      <w:pPr/>
      <w:r>
        <w:rPr>
          <w:rFonts w:ascii="Arial" w:hAnsi="Arial" w:eastAsia="Arial"/>
        </w:rPr>
        <w:t>4.8.2. Использование только встроенного GPS-модуля обычного смартфона не допускается.</w:t>
      </w:r>
    </w:p>
    <w:p>
      <w:pPr/>
      <w:r>
        <w:rPr>
          <w:rFonts w:ascii="Arial" w:hAnsi="Arial" w:eastAsia="Arial"/>
        </w:rPr>
        <w:t>4.8.3. Смартфон может использоваться как интерфейс/регистратор при подключённом внешнем GPS-приёмнике или ином совместимом датчике с частотой не менее 10 Гц.</w:t>
      </w:r>
    </w:p>
    <w:p>
      <w:pPr/>
      <w:r>
        <w:rPr>
          <w:rFonts w:ascii="Arial" w:hAnsi="Arial" w:eastAsia="Arial"/>
        </w:rPr>
        <w:t>4.8.4. Телеметрия должна быть непрерывной и пригодной для расчёта. Файлы с существенными пропусками, ошибками позиционирования или недостаточным качеством могут быть отклонены.</w:t>
      </w:r>
    </w:p>
    <w:p>
      <w:pPr>
        <w:pStyle w:val="Heading2"/>
      </w:pPr>
      <w:r>
        <w:t>4.9. Обязательность контрольной телеметрии</w:t>
      </w:r>
    </w:p>
    <w:p>
      <w:pPr/>
      <w:r>
        <w:rPr>
          <w:rFonts w:ascii="Arial" w:hAnsi="Arial" w:eastAsia="Arial"/>
        </w:rPr>
        <w:t>4.9.1. Для пилотов, которые по итогам сессии входят в предварительный ТОП-10 своего класса, предоставление пригодной GPS-телеметрии обязательно. Организатор вправе потребовать контрольную телеметрию также минимум у двух ближайших резервных участников или у любого иного участника.</w:t>
      </w:r>
    </w:p>
    <w:p>
      <w:pPr/>
      <w:r>
        <w:rPr>
          <w:rFonts w:ascii="Arial" w:hAnsi="Arial" w:eastAsia="Arial"/>
        </w:rPr>
        <w:t>4.9.2. Приоритет имеет телеметрия официальных зачётных попыток текущего этапа, записанная в наиболее мощном доступном режиме автомобиля.</w:t>
      </w:r>
    </w:p>
    <w:p>
      <w:pPr/>
      <w:r>
        <w:rPr>
          <w:rFonts w:ascii="Arial" w:hAnsi="Arial" w:eastAsia="Arial"/>
        </w:rPr>
        <w:t>4.9.3. Если телеметрия зачётной попытки не записалась либо признана непригодной, в исключительном случае может быть принята телеметрия тренировочного дня/сессии при одновременном соблюдении условий: тот же автомобиль, та же техническая конфигурация, та же конфигурация трассы, GPS не менее 10 Гц и достаточное качество данных.</w:t>
      </w:r>
    </w:p>
    <w:p>
      <w:pPr/>
      <w:r>
        <w:rPr>
          <w:rFonts w:ascii="Arial" w:hAnsi="Arial" w:eastAsia="Arial"/>
        </w:rPr>
        <w:t>4.9.4. Ранее принятая телеметрия с другой трассы подтверждает статус откалиброванной карточки, но не заменяет обязательную контрольную телеметрию текущего этапа, кроме решения Организатора в исключительном случае.</w:t>
      </w:r>
    </w:p>
    <w:p>
      <w:pPr>
        <w:pStyle w:val="Heading1"/>
      </w:pPr>
      <w:r>
        <w:t>5. ОПРЕДЕЛЕНИЕ ФАКТИЧЕСКОЙ МОЩНОСТИ</w:t>
      </w:r>
    </w:p>
    <w:p>
      <w:pPr/>
      <w:r>
        <w:rPr>
          <w:rFonts w:ascii="Arial" w:hAnsi="Arial" w:eastAsia="Arial"/>
        </w:rPr>
        <w:t>5.1. Бот ПроГонки автоматически определяет расчётную мощность ДВС по принятой GPS-телеметрии и заносит подтверждённое значение в карточку.</w:t>
      </w:r>
    </w:p>
    <w:p>
      <w:pPr/>
      <w:r>
        <w:rPr>
          <w:rFonts w:ascii="Arial" w:hAnsi="Arial" w:eastAsia="Arial"/>
        </w:rPr>
        <w:t>5.2. Для классификации используется максимальная фактическая мощность ДВС, доступная участнику в ходе этапа.</w:t>
      </w:r>
    </w:p>
    <w:p>
      <w:pPr/>
      <w:r>
        <w:rPr>
          <w:rFonts w:ascii="Arial" w:hAnsi="Arial" w:eastAsia="Arial"/>
        </w:rPr>
        <w:t>5.3. При наличии нескольких переключаемых карт ЭБУ, режимов наддува, карт двигателя или иных режимов мощности учитывается наиболее мощный из доступных режимов независимо от того, какой режим использован на лучшем круге. Менее мощный режим может использоваться в заездах, но не уменьшает расчётную мощность автомобиля для классификации.</w:t>
      </w:r>
    </w:p>
    <w:p>
      <w:pPr/>
      <w:r>
        <w:rPr>
          <w:rFonts w:ascii="Arial" w:hAnsi="Arial" w:eastAsia="Arial"/>
        </w:rPr>
        <w:t>5.4. Более мощный режим не считается доступным только если он программно или механически заблокирован таким образом, что Водитель не может активировать его в ходе этапа без перепрограммирования ЭБУ, механического изменения автомобиля или вмешательства технического персонала.</w:t>
      </w:r>
    </w:p>
    <w:p>
      <w:pPr/>
      <w:r>
        <w:rPr>
          <w:rFonts w:ascii="Arial" w:hAnsi="Arial" w:eastAsia="Arial"/>
        </w:rPr>
        <w:t>5.5. Технический комиссар вправе потребовать предоставление GPS-телеметрии автомобиля в наиболее мощном доступном режиме.</w:t>
      </w:r>
    </w:p>
    <w:p>
      <w:pPr/>
      <w:r>
        <w:rPr>
          <w:rFonts w:ascii="Arial" w:hAnsi="Arial" w:eastAsia="Arial"/>
        </w:rPr>
        <w:t>5.6. Для каждой технической конфигурации в карточке сохраняется подтверждённое референсное значение мощности. Новое значение, отличающееся от этого референса более чем на 5%, считается аномальным и требует дополнительной проверки/повторной пригодной телеметрии до подтверждения результата.</w:t>
      </w:r>
    </w:p>
    <w:p>
      <w:pPr/>
      <w:r>
        <w:rPr>
          <w:rFonts w:ascii="Arial" w:hAnsi="Arial" w:eastAsia="Arial"/>
        </w:rPr>
        <w:t>5.7. Аномальное значение не становится новым референсным автоматически. Новый референс устанавливается только после подтверждения повторной пригодной телеметрией и/или техническим комиссаром.</w:t>
      </w:r>
    </w:p>
    <w:p>
      <w:pPr/>
      <w:r>
        <w:rPr>
          <w:rFonts w:ascii="Arial" w:hAnsi="Arial" w:eastAsia="Arial"/>
        </w:rPr>
        <w:t>5.8. Порог 5% используется только для контроля согласованности калибровок и не является допуском к установленным ограничениям максимальной мощности класса.</w:t>
      </w:r>
    </w:p>
    <w:p>
      <w:pPr/>
      <w:r>
        <w:rPr>
          <w:rFonts w:ascii="Arial" w:hAnsi="Arial" w:eastAsia="Arial"/>
        </w:rPr>
        <w:t>5.9. История калибровок сохраняется: дата, трасса/конфигурация, GPS-оборудование, расчётная мощность и идентификатор технической конфигурации.</w:t>
      </w:r>
    </w:p>
    <w:p>
      <w:pPr/>
      <w:r>
        <w:rPr>
          <w:rFonts w:ascii="Arial" w:hAnsi="Arial" w:eastAsia="Arial"/>
        </w:rPr>
        <w:t>5.10. После подтверждения мощности бот пересчитывает коэффициент К и проверяет класс.</w:t>
      </w:r>
    </w:p>
    <w:p>
      <w:pPr>
        <w:pStyle w:val="Heading1"/>
      </w:pPr>
      <w:r>
        <w:t>6. ВЗВЕШИВАНИЕ, МАССА И БАЛЛАСТ</w:t>
      </w:r>
    </w:p>
    <w:p>
      <w:pPr>
        <w:pStyle w:val="Heading2"/>
      </w:pPr>
      <w:r>
        <w:t>6.1. Взвешивание</w:t>
      </w:r>
    </w:p>
    <w:p>
      <w:pPr/>
      <w:r>
        <w:rPr>
          <w:rFonts w:ascii="Arial" w:hAnsi="Arial" w:eastAsia="Arial"/>
        </w:rPr>
        <w:t>6.1.1. Первичное контрольное взвешивание всех автомобилей проводится во время технической комиссии. Для автомобиля, не выбранного для последующего контрольного взвешивания, при расчёте К используется первичная масса.</w:t>
      </w:r>
    </w:p>
    <w:p>
      <w:pPr/>
      <w:r>
        <w:rPr>
          <w:rFonts w:ascii="Arial" w:hAnsi="Arial" w:eastAsia="Arial"/>
        </w:rPr>
        <w:t>6.1.2. После зачётных сессий Организатор вправе выборочно направить на контрольное взвешивание от 3 до 5 автомобилей суммарно из числа участников, находящихся в текущем ТОП-10 своих классов. Количество и конкретные автомобили определяются Организатором; принцип выбора не обязан раскрываться.</w:t>
      </w:r>
    </w:p>
    <w:p>
      <w:pPr/>
      <w:r>
        <w:rPr>
          <w:rFonts w:ascii="Arial" w:hAnsi="Arial" w:eastAsia="Arial"/>
        </w:rPr>
        <w:t>6.1.3. Организатор вправе дополнительно направить на контрольное взвешивание любого участника независимо от позиции. Участник, коэффициент которого по данным первичного контроля находится в непосредственной близости к границе класса, может быть назначен на обязательное контрольное взвешивание.</w:t>
      </w:r>
    </w:p>
    <w:p>
      <w:pPr/>
      <w:r>
        <w:rPr>
          <w:rFonts w:ascii="Arial" w:hAnsi="Arial" w:eastAsia="Arial"/>
        </w:rPr>
        <w:t>6.1.4. Участник, получивший указание на контрольное взвешивание, обязан после окончания сессии проследовать на весы без изменения массы автомобиля. Зафиксированная контрольная масса имеет приоритет над первичной и используется для дальнейшего расчёта К на данном этапе до нового контрольного взвешивания или официально заявленного изменения конфигурации.</w:t>
      </w:r>
    </w:p>
    <w:p>
      <w:pPr/>
      <w:r>
        <w:rPr>
          <w:rFonts w:ascii="Arial" w:hAnsi="Arial" w:eastAsia="Arial"/>
        </w:rPr>
        <w:t>6.1.5. До контрольного взвешивания запрещается дозаправлять или сливать топливо, менять колёса, добавлять/удалять балласт, пассажира или оборудование и иным способом изменять массу.</w:t>
      </w:r>
    </w:p>
    <w:p>
      <w:pPr/>
      <w:r>
        <w:rPr>
          <w:rFonts w:ascii="Arial" w:hAnsi="Arial" w:eastAsia="Arial"/>
        </w:rPr>
        <w:t>6.1.6. Массу в карточку вносит техком. Участник не может самостоятельно изменять подтверждённое значение.</w:t>
      </w:r>
    </w:p>
    <w:p>
      <w:pPr>
        <w:pStyle w:val="Heading2"/>
      </w:pPr>
      <w:r>
        <w:t>6.2. Балласт</w:t>
      </w:r>
    </w:p>
    <w:p>
      <w:pPr/>
      <w:r>
        <w:rPr>
          <w:rFonts w:ascii="Arial" w:hAnsi="Arial" w:eastAsia="Arial"/>
        </w:rPr>
        <w:t>6.2.1. Довешивание автомобиля для достижения необходимого коэффициента К разрешается.</w:t>
      </w:r>
    </w:p>
    <w:p>
      <w:pPr/>
      <w:r>
        <w:rPr>
          <w:rFonts w:ascii="Arial" w:hAnsi="Arial" w:eastAsia="Arial"/>
        </w:rPr>
        <w:t>6.2.2. Допускаются специальные твёрдые балластные блоки, надёжно закреплённые колёса в штатной нише запасного колеса, а также пассажир-балласт.</w:t>
      </w:r>
    </w:p>
    <w:p>
      <w:pPr/>
      <w:r>
        <w:rPr>
          <w:rFonts w:ascii="Arial" w:hAnsi="Arial" w:eastAsia="Arial"/>
        </w:rPr>
        <w:t>6.2.3. Твёрдый балласт крепится к кузову минимум двумя болтами класса прочности не ниже 8.8 диаметром не менее 8 мм с усиливающими подкладками. Минимальная площадь каждой подкладки — 40 см², толщина — не менее 3 мм. Не менее двух болтов требуется на каждые 20 кг балласта и на каждый отдельный блок массой более 10 кг.</w:t>
      </w:r>
    </w:p>
    <w:p>
      <w:pPr/>
      <w:r>
        <w:rPr>
          <w:rFonts w:ascii="Arial" w:hAnsi="Arial" w:eastAsia="Arial"/>
        </w:rPr>
        <w:t>6.2.4. Колёса, используемые как балласт в нише запасного колеса, должны быть механически закреплены так, чтобы исключить перемещение при разгоне, торможении, повороте или аварии.</w:t>
      </w:r>
    </w:p>
    <w:p>
      <w:pPr/>
      <w:r>
        <w:rPr>
          <w:rFonts w:ascii="Arial" w:hAnsi="Arial" w:eastAsia="Arial"/>
        </w:rPr>
        <w:t>6.2.5. Незакреплённые предметы и переносные ёмкости с жидкостью в качестве балласта запрещены.</w:t>
      </w:r>
    </w:p>
    <w:p>
      <w:pPr/>
      <w:r>
        <w:rPr>
          <w:rFonts w:ascii="Arial" w:hAnsi="Arial" w:eastAsia="Arial"/>
        </w:rPr>
        <w:t>6.2.6. Любое изменение количества, массы или расположения специального балласта после первоначального взвешивания считается изменением зачётной конфигурации и должно быть заявлено Организатору до следующего выезда. Организатор вправе потребовать повторное взвешивание.</w:t>
      </w:r>
    </w:p>
    <w:p>
      <w:pPr>
        <w:pStyle w:val="Heading2"/>
      </w:pPr>
      <w:r>
        <w:t>6.3. Пассажир-балласт</w:t>
      </w:r>
    </w:p>
    <w:p>
      <w:pPr/>
      <w:r>
        <w:rPr>
          <w:rFonts w:ascii="Arial" w:hAnsi="Arial" w:eastAsia="Arial"/>
        </w:rPr>
        <w:t>6.3.1. Пассажир может использоваться как балласт при соблюдении действующих требований ADM Raceway.</w:t>
      </w:r>
    </w:p>
    <w:p>
      <w:pPr/>
      <w:r>
        <w:rPr>
          <w:rFonts w:ascii="Arial" w:hAnsi="Arial" w:eastAsia="Arial"/>
        </w:rPr>
        <w:t>6.3.2. В автомобиле допускается не более одного Пассажира. Экипировка Пассажира должна отвечать тем же требованиям, что экипировка Водителя; ремни должны быть исправны и застёгнуты.</w:t>
      </w:r>
    </w:p>
    <w:p>
      <w:pPr/>
      <w:r>
        <w:rPr>
          <w:rFonts w:ascii="Arial" w:hAnsi="Arial" w:eastAsia="Arial"/>
        </w:rPr>
        <w:t>6.3.3. Возраст, заявления и иные административные условия допуска Пассажира определяются действующими правилами ADM Raceway.</w:t>
      </w:r>
    </w:p>
    <w:p>
      <w:pPr/>
      <w:r>
        <w:rPr>
          <w:rFonts w:ascii="Arial" w:hAnsi="Arial" w:eastAsia="Arial"/>
        </w:rPr>
        <w:t>6.3.4. Пассажир считается частью зачётной конфигурации и учитывается при первичном и контрольном взвешивании соответствующего пилота.</w:t>
      </w:r>
    </w:p>
    <w:p>
      <w:pPr/>
      <w:r>
        <w:rPr>
          <w:rFonts w:ascii="Arial" w:hAnsi="Arial" w:eastAsia="Arial"/>
        </w:rPr>
        <w:t>6.3.5. Замена, добавление или отсутствие Пассажира является изменением конфигурации и должно быть заявлено до следующего выезда; Организатор вправе потребовать повторное взвешивание.</w:t>
      </w:r>
    </w:p>
    <w:p>
      <w:pPr/>
      <w:r>
        <w:rPr>
          <w:rFonts w:ascii="Arial" w:hAnsi="Arial" w:eastAsia="Arial"/>
        </w:rPr>
        <w:t>6.3.6. При наличии каркаса пассажирское место должно соответствовать действующим требованиям ADM Raceway к автомобилям с каркасом.</w:t>
      </w:r>
    </w:p>
    <w:p>
      <w:pPr>
        <w:pStyle w:val="Heading1"/>
      </w:pPr>
      <w:r>
        <w:t>7. КОЛЁСА, ШИНЫ И ОСТЕКЛЕНИЕ</w:t>
      </w:r>
    </w:p>
    <w:p>
      <w:pPr>
        <w:pStyle w:val="Heading2"/>
      </w:pPr>
      <w:r>
        <w:t>7.1. Категории шин и ширина</w:t>
      </w:r>
    </w:p>
    <w:p>
      <w:pPr/>
      <w:r>
        <w:rPr>
          <w:rFonts w:ascii="Arial" w:hAnsi="Arial" w:eastAsia="Arial"/>
        </w:rPr>
        <w:t>7.1.1. Используются категории ROAD, UHP, TRACK и SLICK. Принадлежность конкретной модели и компаунда определяется Приложением №1.</w:t>
      </w:r>
    </w:p>
    <w:p>
      <w:pPr/>
      <w:r>
        <w:rPr>
          <w:rFonts w:ascii="Arial" w:hAnsi="Arial" w:eastAsia="Arial"/>
        </w:rPr>
        <w:t>7.1.2. Treadwear является дополнительным критерием, но не единственным основанием для категории. Конкретная спортивная модель может быть отнесена к UHP или TRACK независимо от указанного TW.</w:t>
      </w:r>
    </w:p>
    <w:tbl>
      <w:tblPr>
        <w:tblW w:type="auto" w:w="0"/>
        <w:jc w:val="center"/>
        <w:tblLayout w:type="autofit"/>
        <w:tblLook w:firstColumn="1" w:firstRow="1" w:lastColumn="0" w:lastRow="0" w:noHBand="0" w:noVBand="1" w:val="04A0"/>
      </w:tblPr>
      <w:tblGrid>
        <w:gridCol w:w="3400"/>
        <w:gridCol w:w="3400"/>
        <w:gridCol w:w="3400"/>
      </w:tblGrid>
      <w:tr>
        <w:trPr>
          <w:tblHeader w:val="true"/>
        </w:trPr>
        <w:tc>
          <w:tcPr>
            <w:tcW w:type="dxa" w:w="3400"/>
            <w:vAlign w:val="center"/>
            <w:tcMar>
              <w:top w:w="45" w:type="dxa"/>
              <w:start w:w="45" w:type="dxa"/>
              <w:bottom w:w="45" w:type="dxa"/>
              <w:end w:w="45" w:type="dxa"/>
            </w:tcMar>
            <w:shd w:fill="333333"/>
          </w:tcPr>
          <w:p>
            <w:pPr>
              <w:spacing w:after="0" w:before="0"/>
            </w:pPr>
            <w:r>
              <w:rPr>
                <w:rFonts w:ascii="Arial" w:hAnsi="Arial" w:eastAsia="Arial"/>
                <w:b/>
                <w:color w:val="FFFFFF"/>
                <w:sz w:val="16"/>
              </w:rPr>
              <w:t>Класс</w:t>
            </w:r>
          </w:p>
        </w:tc>
        <w:tc>
          <w:tcPr>
            <w:tcW w:type="dxa" w:w="3400"/>
            <w:vAlign w:val="center"/>
            <w:tcMar>
              <w:top w:w="45" w:type="dxa"/>
              <w:start w:w="45" w:type="dxa"/>
              <w:bottom w:w="45" w:type="dxa"/>
              <w:end w:w="45" w:type="dxa"/>
            </w:tcMar>
            <w:shd w:fill="333333"/>
          </w:tcPr>
          <w:p>
            <w:pPr>
              <w:spacing w:after="0" w:before="0"/>
            </w:pPr>
            <w:r>
              <w:rPr>
                <w:rFonts w:ascii="Arial" w:hAnsi="Arial" w:eastAsia="Arial"/>
                <w:b/>
                <w:color w:val="FFFFFF"/>
                <w:sz w:val="16"/>
              </w:rPr>
              <w:t>Категории шин</w:t>
            </w:r>
          </w:p>
        </w:tc>
        <w:tc>
          <w:tcPr>
            <w:tcW w:type="dxa" w:w="3400"/>
            <w:vAlign w:val="center"/>
            <w:tcMar>
              <w:top w:w="45" w:type="dxa"/>
              <w:start w:w="45" w:type="dxa"/>
              <w:bottom w:w="45" w:type="dxa"/>
              <w:end w:w="45" w:type="dxa"/>
            </w:tcMar>
            <w:shd w:fill="333333"/>
          </w:tcPr>
          <w:p>
            <w:pPr>
              <w:spacing w:after="0" w:before="0"/>
            </w:pPr>
            <w:r>
              <w:rPr>
                <w:rFonts w:ascii="Arial" w:hAnsi="Arial" w:eastAsia="Arial"/>
                <w:b/>
                <w:color w:val="FFFFFF"/>
                <w:sz w:val="16"/>
              </w:rPr>
              <w:t>Максимальная ширина</w:t>
            </w:r>
          </w:p>
        </w:tc>
      </w:tr>
      <w:tr>
        <w:tc>
          <w:tcPr>
            <w:tcW w:type="dxa" w:w="3400"/>
            <w:vAlign w:val="center"/>
            <w:tcMar>
              <w:top w:w="45" w:type="dxa"/>
              <w:start w:w="45" w:type="dxa"/>
              <w:bottom w:w="45" w:type="dxa"/>
              <w:end w:w="45" w:type="dxa"/>
            </w:tcMar>
          </w:tcPr>
          <w:p>
            <w:pPr>
              <w:spacing w:after="0" w:before="0"/>
            </w:pPr>
            <w:r>
              <w:rPr>
                <w:rFonts w:ascii="Arial" w:hAnsi="Arial" w:eastAsia="Arial"/>
                <w:b/>
                <w:color w:val="232323"/>
                <w:sz w:val="16"/>
              </w:rPr>
              <w:t>СТОК</w:t>
            </w:r>
          </w:p>
        </w:tc>
        <w:tc>
          <w:tcPr>
            <w:tcW w:type="dxa" w:w="3400"/>
            <w:vAlign w:val="center"/>
            <w:tcMar>
              <w:top w:w="45" w:type="dxa"/>
              <w:start w:w="45" w:type="dxa"/>
              <w:bottom w:w="45" w:type="dxa"/>
              <w:end w:w="45" w:type="dxa"/>
            </w:tcMar>
          </w:tcPr>
          <w:p>
            <w:pPr>
              <w:spacing w:after="0" w:before="0"/>
            </w:pPr>
            <w:r>
              <w:rPr>
                <w:rFonts w:ascii="Arial" w:hAnsi="Arial" w:eastAsia="Arial"/>
                <w:b w:val="0"/>
                <w:color w:val="232323"/>
                <w:sz w:val="16"/>
              </w:rPr>
              <w:t>ROAD, TW ≥300</w:t>
            </w:r>
          </w:p>
        </w:tc>
        <w:tc>
          <w:tcPr>
            <w:tcW w:type="dxa" w:w="3400"/>
            <w:vAlign w:val="center"/>
            <w:tcMar>
              <w:top w:w="45" w:type="dxa"/>
              <w:start w:w="45" w:type="dxa"/>
              <w:bottom w:w="45" w:type="dxa"/>
              <w:end w:w="45" w:type="dxa"/>
            </w:tcMar>
          </w:tcPr>
          <w:p>
            <w:pPr>
              <w:spacing w:after="0" w:before="0"/>
            </w:pPr>
            <w:r>
              <w:rPr>
                <w:rFonts w:ascii="Arial" w:hAnsi="Arial" w:eastAsia="Arial"/>
                <w:b w:val="0"/>
                <w:color w:val="232323"/>
                <w:sz w:val="16"/>
              </w:rPr>
              <w:t>макс. штатная +20 мм</w:t>
            </w:r>
          </w:p>
        </w:tc>
      </w:tr>
      <w:tr>
        <w:tc>
          <w:tcPr>
            <w:tcW w:type="dxa" w:w="3400"/>
            <w:vAlign w:val="center"/>
            <w:tcMar>
              <w:top w:w="45" w:type="dxa"/>
              <w:start w:w="45" w:type="dxa"/>
              <w:bottom w:w="45" w:type="dxa"/>
              <w:end w:w="45" w:type="dxa"/>
            </w:tcMar>
            <w:shd w:fill="F4F4F4"/>
          </w:tcPr>
          <w:p>
            <w:pPr>
              <w:spacing w:after="0" w:before="0"/>
            </w:pPr>
            <w:r>
              <w:rPr>
                <w:rFonts w:ascii="Arial" w:hAnsi="Arial" w:eastAsia="Arial"/>
                <w:b/>
                <w:color w:val="232323"/>
                <w:sz w:val="16"/>
              </w:rPr>
              <w:t>СТРИТ</w:t>
            </w:r>
          </w:p>
        </w:tc>
        <w:tc>
          <w:tcPr>
            <w:tcW w:type="dxa" w:w="3400"/>
            <w:vAlign w:val="center"/>
            <w:tcMar>
              <w:top w:w="45" w:type="dxa"/>
              <w:start w:w="45" w:type="dxa"/>
              <w:bottom w:w="45" w:type="dxa"/>
              <w:end w:w="45" w:type="dxa"/>
            </w:tcMar>
            <w:shd w:fill="F4F4F4"/>
          </w:tcPr>
          <w:p>
            <w:pPr>
              <w:spacing w:after="0" w:before="0"/>
            </w:pPr>
            <w:r>
              <w:rPr>
                <w:rFonts w:ascii="Arial" w:hAnsi="Arial" w:eastAsia="Arial"/>
                <w:b w:val="0"/>
                <w:color w:val="232323"/>
                <w:sz w:val="16"/>
              </w:rPr>
              <w:t>ROAD + UHP</w:t>
            </w:r>
          </w:p>
        </w:tc>
        <w:tc>
          <w:tcPr>
            <w:tcW w:type="dxa" w:w="3400"/>
            <w:vAlign w:val="center"/>
            <w:tcMar>
              <w:top w:w="45" w:type="dxa"/>
              <w:start w:w="45" w:type="dxa"/>
              <w:bottom w:w="45" w:type="dxa"/>
              <w:end w:w="45" w:type="dxa"/>
            </w:tcMar>
            <w:shd w:fill="F4F4F4"/>
          </w:tcPr>
          <w:p>
            <w:pPr>
              <w:spacing w:after="0" w:before="0"/>
            </w:pPr>
            <w:r>
              <w:rPr>
                <w:rFonts w:ascii="Arial" w:hAnsi="Arial" w:eastAsia="Arial"/>
                <w:b w:val="0"/>
                <w:color w:val="232323"/>
                <w:sz w:val="16"/>
              </w:rPr>
              <w:t>225 мм</w:t>
            </w:r>
          </w:p>
        </w:tc>
      </w:tr>
      <w:tr>
        <w:tc>
          <w:tcPr>
            <w:tcW w:type="dxa" w:w="3400"/>
            <w:vAlign w:val="center"/>
            <w:tcMar>
              <w:top w:w="45" w:type="dxa"/>
              <w:start w:w="45" w:type="dxa"/>
              <w:bottom w:w="45" w:type="dxa"/>
              <w:end w:w="45" w:type="dxa"/>
            </w:tcMar>
          </w:tcPr>
          <w:p>
            <w:pPr>
              <w:spacing w:after="0" w:before="0"/>
            </w:pPr>
            <w:r>
              <w:rPr>
                <w:rFonts w:ascii="Arial" w:hAnsi="Arial" w:eastAsia="Arial"/>
                <w:b/>
                <w:color w:val="232323"/>
                <w:sz w:val="16"/>
              </w:rPr>
              <w:t>ЛАЙТ</w:t>
            </w:r>
          </w:p>
        </w:tc>
        <w:tc>
          <w:tcPr>
            <w:tcW w:type="dxa" w:w="3400"/>
            <w:vAlign w:val="center"/>
            <w:tcMar>
              <w:top w:w="45" w:type="dxa"/>
              <w:start w:w="45" w:type="dxa"/>
              <w:bottom w:w="45" w:type="dxa"/>
              <w:end w:w="45" w:type="dxa"/>
            </w:tcMar>
          </w:tcPr>
          <w:p>
            <w:pPr>
              <w:spacing w:after="0" w:before="0"/>
            </w:pPr>
            <w:r>
              <w:rPr>
                <w:rFonts w:ascii="Arial" w:hAnsi="Arial" w:eastAsia="Arial"/>
                <w:b w:val="0"/>
                <w:color w:val="232323"/>
                <w:sz w:val="16"/>
              </w:rPr>
              <w:t>ROAD + UHP</w:t>
            </w:r>
          </w:p>
        </w:tc>
        <w:tc>
          <w:tcPr>
            <w:tcW w:type="dxa" w:w="3400"/>
            <w:vAlign w:val="center"/>
            <w:tcMar>
              <w:top w:w="45" w:type="dxa"/>
              <w:start w:w="45" w:type="dxa"/>
              <w:bottom w:w="45" w:type="dxa"/>
              <w:end w:w="45" w:type="dxa"/>
            </w:tcMar>
          </w:tcPr>
          <w:p>
            <w:pPr>
              <w:spacing w:after="0" w:before="0"/>
            </w:pPr>
            <w:r>
              <w:rPr>
                <w:rFonts w:ascii="Arial" w:hAnsi="Arial" w:eastAsia="Arial"/>
                <w:b w:val="0"/>
                <w:color w:val="232323"/>
                <w:sz w:val="16"/>
              </w:rPr>
              <w:t>235 мм</w:t>
            </w:r>
          </w:p>
        </w:tc>
      </w:tr>
      <w:tr>
        <w:tc>
          <w:tcPr>
            <w:tcW w:type="dxa" w:w="3400"/>
            <w:vAlign w:val="center"/>
            <w:tcMar>
              <w:top w:w="45" w:type="dxa"/>
              <w:start w:w="45" w:type="dxa"/>
              <w:bottom w:w="45" w:type="dxa"/>
              <w:end w:w="45" w:type="dxa"/>
            </w:tcMar>
            <w:shd w:fill="F4F4F4"/>
          </w:tcPr>
          <w:p>
            <w:pPr>
              <w:spacing w:after="0" w:before="0"/>
            </w:pPr>
            <w:r>
              <w:rPr>
                <w:rFonts w:ascii="Arial" w:hAnsi="Arial" w:eastAsia="Arial"/>
                <w:b/>
                <w:color w:val="232323"/>
                <w:sz w:val="16"/>
              </w:rPr>
              <w:t>ТРЕК</w:t>
            </w:r>
          </w:p>
        </w:tc>
        <w:tc>
          <w:tcPr>
            <w:tcW w:type="dxa" w:w="3400"/>
            <w:vAlign w:val="center"/>
            <w:tcMar>
              <w:top w:w="45" w:type="dxa"/>
              <w:start w:w="45" w:type="dxa"/>
              <w:bottom w:w="45" w:type="dxa"/>
              <w:end w:w="45" w:type="dxa"/>
            </w:tcMar>
            <w:shd w:fill="F4F4F4"/>
          </w:tcPr>
          <w:p>
            <w:pPr>
              <w:spacing w:after="0" w:before="0"/>
            </w:pPr>
            <w:r>
              <w:rPr>
                <w:rFonts w:ascii="Arial" w:hAnsi="Arial" w:eastAsia="Arial"/>
                <w:b w:val="0"/>
                <w:color w:val="232323"/>
                <w:sz w:val="16"/>
              </w:rPr>
              <w:t>ROAD + UHP + TRACK</w:t>
            </w:r>
          </w:p>
        </w:tc>
        <w:tc>
          <w:tcPr>
            <w:tcW w:type="dxa" w:w="3400"/>
            <w:vAlign w:val="center"/>
            <w:tcMar>
              <w:top w:w="45" w:type="dxa"/>
              <w:start w:w="45" w:type="dxa"/>
              <w:bottom w:w="45" w:type="dxa"/>
              <w:end w:w="45" w:type="dxa"/>
            </w:tcMar>
            <w:shd w:fill="F4F4F4"/>
          </w:tcPr>
          <w:p>
            <w:pPr>
              <w:spacing w:after="0" w:before="0"/>
            </w:pPr>
            <w:r>
              <w:rPr>
                <w:rFonts w:ascii="Arial" w:hAnsi="Arial" w:eastAsia="Arial"/>
                <w:b w:val="0"/>
                <w:color w:val="232323"/>
                <w:sz w:val="16"/>
              </w:rPr>
              <w:t>245 мм</w:t>
            </w:r>
          </w:p>
        </w:tc>
      </w:tr>
      <w:tr>
        <w:tc>
          <w:tcPr>
            <w:tcW w:type="dxa" w:w="3400"/>
            <w:vAlign w:val="center"/>
            <w:tcMar>
              <w:top w:w="45" w:type="dxa"/>
              <w:start w:w="45" w:type="dxa"/>
              <w:bottom w:w="45" w:type="dxa"/>
              <w:end w:w="45" w:type="dxa"/>
            </w:tcMar>
          </w:tcPr>
          <w:p>
            <w:pPr>
              <w:spacing w:after="0" w:before="0"/>
            </w:pPr>
            <w:r>
              <w:rPr>
                <w:rFonts w:ascii="Arial" w:hAnsi="Arial" w:eastAsia="Arial"/>
                <w:b/>
                <w:color w:val="232323"/>
                <w:sz w:val="16"/>
              </w:rPr>
              <w:t>СПОРТ</w:t>
            </w:r>
          </w:p>
        </w:tc>
        <w:tc>
          <w:tcPr>
            <w:tcW w:type="dxa" w:w="3400"/>
            <w:vAlign w:val="center"/>
            <w:tcMar>
              <w:top w:w="45" w:type="dxa"/>
              <w:start w:w="45" w:type="dxa"/>
              <w:bottom w:w="45" w:type="dxa"/>
              <w:end w:w="45" w:type="dxa"/>
            </w:tcMar>
          </w:tcPr>
          <w:p>
            <w:pPr>
              <w:spacing w:after="0" w:before="0"/>
            </w:pPr>
            <w:r>
              <w:rPr>
                <w:rFonts w:ascii="Arial" w:hAnsi="Arial" w:eastAsia="Arial"/>
                <w:b w:val="0"/>
                <w:color w:val="232323"/>
                <w:sz w:val="16"/>
              </w:rPr>
              <w:t>ROAD + UHP + TRACK</w:t>
            </w:r>
          </w:p>
        </w:tc>
        <w:tc>
          <w:tcPr>
            <w:tcW w:type="dxa" w:w="3400"/>
            <w:vAlign w:val="center"/>
            <w:tcMar>
              <w:top w:w="45" w:type="dxa"/>
              <w:start w:w="45" w:type="dxa"/>
              <w:bottom w:w="45" w:type="dxa"/>
              <w:end w:w="45" w:type="dxa"/>
            </w:tcMar>
          </w:tcPr>
          <w:p>
            <w:pPr>
              <w:spacing w:after="0" w:before="0"/>
            </w:pPr>
            <w:r>
              <w:rPr>
                <w:rFonts w:ascii="Arial" w:hAnsi="Arial" w:eastAsia="Arial"/>
                <w:b w:val="0"/>
                <w:color w:val="232323"/>
                <w:sz w:val="16"/>
              </w:rPr>
              <w:t>255 мм</w:t>
            </w:r>
          </w:p>
        </w:tc>
      </w:tr>
      <w:tr>
        <w:tc>
          <w:tcPr>
            <w:tcW w:type="dxa" w:w="3400"/>
            <w:vAlign w:val="center"/>
            <w:tcMar>
              <w:top w:w="45" w:type="dxa"/>
              <w:start w:w="45" w:type="dxa"/>
              <w:bottom w:w="45" w:type="dxa"/>
              <w:end w:w="45" w:type="dxa"/>
            </w:tcMar>
            <w:shd w:fill="F4F4F4"/>
          </w:tcPr>
          <w:p>
            <w:pPr>
              <w:spacing w:after="0" w:before="0"/>
            </w:pPr>
            <w:r>
              <w:rPr>
                <w:rFonts w:ascii="Arial" w:hAnsi="Arial" w:eastAsia="Arial"/>
                <w:b/>
                <w:color w:val="232323"/>
                <w:sz w:val="16"/>
              </w:rPr>
              <w:t>ПРО</w:t>
            </w:r>
          </w:p>
        </w:tc>
        <w:tc>
          <w:tcPr>
            <w:tcW w:type="dxa" w:w="3400"/>
            <w:vAlign w:val="center"/>
            <w:tcMar>
              <w:top w:w="45" w:type="dxa"/>
              <w:start w:w="45" w:type="dxa"/>
              <w:bottom w:w="45" w:type="dxa"/>
              <w:end w:w="45" w:type="dxa"/>
            </w:tcMar>
            <w:shd w:fill="F4F4F4"/>
          </w:tcPr>
          <w:p>
            <w:pPr>
              <w:spacing w:after="0" w:before="0"/>
            </w:pPr>
            <w:r>
              <w:rPr>
                <w:rFonts w:ascii="Arial" w:hAnsi="Arial" w:eastAsia="Arial"/>
                <w:b w:val="0"/>
                <w:color w:val="232323"/>
                <w:sz w:val="16"/>
              </w:rPr>
              <w:t>включая SLICK</w:t>
            </w:r>
          </w:p>
        </w:tc>
        <w:tc>
          <w:tcPr>
            <w:tcW w:type="dxa" w:w="3400"/>
            <w:vAlign w:val="center"/>
            <w:tcMar>
              <w:top w:w="45" w:type="dxa"/>
              <w:start w:w="45" w:type="dxa"/>
              <w:bottom w:w="45" w:type="dxa"/>
              <w:end w:w="45" w:type="dxa"/>
            </w:tcMar>
            <w:shd w:fill="F4F4F4"/>
          </w:tcPr>
          <w:p>
            <w:pPr>
              <w:spacing w:after="0" w:before="0"/>
            </w:pPr>
            <w:r>
              <w:rPr>
                <w:rFonts w:ascii="Arial" w:hAnsi="Arial" w:eastAsia="Arial"/>
                <w:b w:val="0"/>
                <w:color w:val="232323"/>
                <w:sz w:val="16"/>
              </w:rPr>
              <w:t>без ограничения</w:t>
            </w:r>
          </w:p>
        </w:tc>
      </w:tr>
      <w:tr>
        <w:tc>
          <w:tcPr>
            <w:tcW w:type="dxa" w:w="3400"/>
            <w:vAlign w:val="center"/>
            <w:tcMar>
              <w:top w:w="45" w:type="dxa"/>
              <w:start w:w="45" w:type="dxa"/>
              <w:bottom w:w="45" w:type="dxa"/>
              <w:end w:w="45" w:type="dxa"/>
            </w:tcMar>
          </w:tcPr>
          <w:p>
            <w:pPr>
              <w:spacing w:after="0" w:before="0"/>
            </w:pPr>
            <w:r>
              <w:rPr>
                <w:rFonts w:ascii="Arial" w:hAnsi="Arial" w:eastAsia="Arial"/>
                <w:b/>
                <w:color w:val="232323"/>
                <w:sz w:val="16"/>
              </w:rPr>
              <w:t>АБСОЛЮТ</w:t>
            </w:r>
          </w:p>
        </w:tc>
        <w:tc>
          <w:tcPr>
            <w:tcW w:type="dxa" w:w="3400"/>
            <w:vAlign w:val="center"/>
            <w:tcMar>
              <w:top w:w="45" w:type="dxa"/>
              <w:start w:w="45" w:type="dxa"/>
              <w:bottom w:w="45" w:type="dxa"/>
              <w:end w:w="45" w:type="dxa"/>
            </w:tcMar>
          </w:tcPr>
          <w:p>
            <w:pPr>
              <w:spacing w:after="0" w:before="0"/>
            </w:pPr>
            <w:r>
              <w:rPr>
                <w:rFonts w:ascii="Arial" w:hAnsi="Arial" w:eastAsia="Arial"/>
                <w:b w:val="0"/>
                <w:color w:val="232323"/>
                <w:sz w:val="16"/>
              </w:rPr>
              <w:t>любые</w:t>
            </w:r>
          </w:p>
        </w:tc>
        <w:tc>
          <w:tcPr>
            <w:tcW w:type="dxa" w:w="3400"/>
            <w:vAlign w:val="center"/>
            <w:tcMar>
              <w:top w:w="45" w:type="dxa"/>
              <w:start w:w="45" w:type="dxa"/>
              <w:bottom w:w="45" w:type="dxa"/>
              <w:end w:w="45" w:type="dxa"/>
            </w:tcMar>
          </w:tcPr>
          <w:p>
            <w:pPr>
              <w:spacing w:after="0" w:before="0"/>
            </w:pPr>
            <w:r>
              <w:rPr>
                <w:rFonts w:ascii="Arial" w:hAnsi="Arial" w:eastAsia="Arial"/>
                <w:b w:val="0"/>
                <w:color w:val="232323"/>
                <w:sz w:val="16"/>
              </w:rPr>
              <w:t>без ограничения</w:t>
            </w:r>
          </w:p>
        </w:tc>
      </w:tr>
    </w:tbl>
    <w:p>
      <w:pPr/>
      <w:r>
        <w:rPr>
          <w:rFonts w:ascii="Arial" w:hAnsi="Arial" w:eastAsia="Arial"/>
        </w:rPr>
        <w:t>7.1.3. В СТОК максимальная ширина равна максимальной штатной ширине для соответствующей оси конкретной модели и модификации +20 мм. При заводской разноширокой установке правило применяется отдельно к каждой оси. Исходный размер подтверждается заводскими техническими данными.</w:t>
      </w:r>
    </w:p>
    <w:p>
      <w:pPr/>
      <w:r>
        <w:rPr>
          <w:rFonts w:ascii="Arial" w:hAnsi="Arial" w:eastAsia="Arial"/>
        </w:rPr>
        <w:t>7.1.4. Ширина шины определяется по номинальной маркировке на боковине. Диаметр диска свободный. Ширина диска свободная при безопасной совместимости с шиной.</w:t>
      </w:r>
    </w:p>
    <w:p>
      <w:pPr/>
      <w:r>
        <w:rPr>
          <w:rFonts w:ascii="Arial" w:hAnsi="Arial" w:eastAsia="Arial"/>
        </w:rPr>
        <w:t>7.1.5. Проставки и изменение вылета допускаются при надёжном креплении и отсутствии опасного контакта колеса с кузовом, подвеской или тормозной системой.</w:t>
      </w:r>
    </w:p>
    <w:p>
      <w:pPr/>
      <w:r>
        <w:rPr>
          <w:rFonts w:ascii="Arial" w:hAnsi="Arial" w:eastAsia="Arial"/>
        </w:rPr>
        <w:t>7.1.6. В СТОК–СПОРТ запрещены средства принудительного предварительного нагрева шин. В ПРО и АБСОЛЮТ грелки разрешены.</w:t>
      </w:r>
    </w:p>
    <w:p>
      <w:pPr/>
      <w:r>
        <w:rPr>
          <w:rFonts w:ascii="Arial" w:hAnsi="Arial" w:eastAsia="Arial"/>
        </w:rPr>
        <w:t>7.1.7. Химическая обработка шин для изменения сцепных свойств и самовольное механическое изменение рисунка протектора запрещены.</w:t>
      </w:r>
    </w:p>
    <w:p>
      <w:pPr/>
      <w:r>
        <w:rPr>
          <w:rFonts w:ascii="Arial" w:hAnsi="Arial" w:eastAsia="Arial"/>
        </w:rPr>
        <w:t>7.1.8. Шина/компаунд, отсутствующие в классификаторе, должны быть классифицированы Организатором до официальной зачётной сессии. Использование не классифицированной шины без предварительного согласования является нарушением.</w:t>
      </w:r>
    </w:p>
    <w:p>
      <w:pPr>
        <w:pStyle w:val="Heading2"/>
      </w:pPr>
      <w:r>
        <w:t>7.2. Остекление</w:t>
      </w:r>
    </w:p>
    <w:p>
      <w:pPr/>
      <w:r>
        <w:rPr>
          <w:rFonts w:ascii="Arial" w:hAnsi="Arial" w:eastAsia="Arial"/>
        </w:rPr>
        <w:t>7.2.1. В СТОК штатное остекление сохраняется; замена стекла пластиковым остеклением запрещена независимо от наличия каркаса.</w:t>
      </w:r>
    </w:p>
    <w:p>
      <w:pPr/>
      <w:r>
        <w:rPr>
          <w:rFonts w:ascii="Arial" w:hAnsi="Arial" w:eastAsia="Arial"/>
        </w:rPr>
        <w:t>7.2.2. В СТРИТ, ЛАЙТ, ТРЕК и СПОРТ на автомобиле без каркаса замена штатного стекла пластиковым допускается только в задней полусфере (задние боковые и заднее стекло). Лобовое и передние боковые стёкла должны оставаться автомобильными стёклами.</w:t>
      </w:r>
    </w:p>
    <w:p>
      <w:pPr/>
      <w:r>
        <w:rPr>
          <w:rFonts w:ascii="Arial" w:hAnsi="Arial" w:eastAsia="Arial"/>
        </w:rPr>
        <w:t>7.2.3. В СТРИТ, ЛАЙТ, ТРЕК и СПОРТ при наличии каркаса безопасности пластиковое остекление допускается полностью при условии допуска автомобиля на трассу ADM Raceway.</w:t>
      </w:r>
    </w:p>
    <w:p>
      <w:pPr/>
      <w:r>
        <w:rPr>
          <w:rFonts w:ascii="Arial" w:hAnsi="Arial" w:eastAsia="Arial"/>
        </w:rPr>
        <w:t>7.2.4. В ПРО и АБСОЛЮТ материал остекления не ограничивается настоящим Регламентом при соблюдении требований безопасности и допуска ADM Raceway.</w:t>
      </w:r>
    </w:p>
    <w:p>
      <w:pPr>
        <w:pStyle w:val="Heading1"/>
      </w:pPr>
      <w:r>
        <w:t>8. ТЕХНИЧЕСКИЕ ОГРАНИЧЕНИЯ КЛАССА СТОК</w:t>
      </w:r>
    </w:p>
    <w:p>
      <w:pPr/>
      <w:r>
        <w:rPr>
          <w:rFonts w:ascii="Arial" w:hAnsi="Arial" w:eastAsia="Arial"/>
        </w:rPr>
        <w:t>8.1. В СТОК разрешено всё, что прямо не запрещено настоящим разделом, при одновременном соблюдении К ≥11,0, мощности не более 120 л.с. и требований к шинам.</w:t>
      </w:r>
    </w:p>
    <w:p>
      <w:pPr/>
      <w:r>
        <w:rPr>
          <w:rFonts w:ascii="Arial" w:hAnsi="Arial" w:eastAsia="Arial"/>
        </w:rPr>
        <w:t>8.2. Запрещаются:</w:t>
      </w:r>
    </w:p>
    <w:p>
      <w:pPr>
        <w:ind w:left="312" w:hanging="198"/>
      </w:pPr>
      <w:r>
        <w:rPr>
          <w:rFonts w:ascii="Arial" w:hAnsi="Arial" w:eastAsia="Arial"/>
          <w:b/>
          <w:color w:val="910000"/>
        </w:rPr>
        <w:t xml:space="preserve">• </w:t>
      </w:r>
      <w:r>
        <w:rPr>
          <w:rFonts w:ascii="Arial" w:hAnsi="Arial" w:eastAsia="Arial"/>
        </w:rPr>
        <w:t>перенос основных заводских точек крепления подвески и существенная переделка её принципиальной кинематической схемы;</w:t>
      </w:r>
    </w:p>
    <w:p>
      <w:pPr>
        <w:ind w:left="312" w:hanging="198"/>
      </w:pPr>
      <w:r>
        <w:rPr>
          <w:rFonts w:ascii="Arial" w:hAnsi="Arial" w:eastAsia="Arial"/>
          <w:b/>
          <w:color w:val="910000"/>
        </w:rPr>
        <w:t xml:space="preserve">• </w:t>
      </w:r>
      <w:r>
        <w:rPr>
          <w:rFonts w:ascii="Arial" w:hAnsi="Arial" w:eastAsia="Arial"/>
        </w:rPr>
        <w:t>изменение заводского типа привода;</w:t>
      </w:r>
    </w:p>
    <w:p>
      <w:pPr>
        <w:ind w:left="312" w:hanging="198"/>
      </w:pPr>
      <w:r>
        <w:rPr>
          <w:rFonts w:ascii="Arial" w:hAnsi="Arial" w:eastAsia="Arial"/>
          <w:b/>
          <w:color w:val="910000"/>
        </w:rPr>
        <w:t xml:space="preserve">• </w:t>
      </w:r>
      <w:r>
        <w:rPr>
          <w:rFonts w:ascii="Arial" w:hAnsi="Arial" w:eastAsia="Arial"/>
        </w:rPr>
        <w:t>удаление или существенное ослабление основных несущих элементов кузова/рамы и лонжеронов;</w:t>
      </w:r>
    </w:p>
    <w:p>
      <w:pPr>
        <w:ind w:left="312" w:hanging="198"/>
      </w:pPr>
      <w:r>
        <w:rPr>
          <w:rFonts w:ascii="Arial" w:hAnsi="Arial" w:eastAsia="Arial"/>
          <w:b/>
          <w:color w:val="910000"/>
        </w:rPr>
        <w:t xml:space="preserve">• </w:t>
      </w:r>
      <w:r>
        <w:rPr>
          <w:rFonts w:ascii="Arial" w:hAnsi="Arial" w:eastAsia="Arial"/>
        </w:rPr>
        <w:t>замена серийного несущего кузова пространственной конструкцией;</w:t>
      </w:r>
    </w:p>
    <w:p>
      <w:pPr>
        <w:ind w:left="312" w:hanging="198"/>
      </w:pPr>
      <w:r>
        <w:rPr>
          <w:rFonts w:ascii="Arial" w:hAnsi="Arial" w:eastAsia="Arial"/>
          <w:b/>
          <w:color w:val="910000"/>
        </w:rPr>
        <w:t xml:space="preserve">• </w:t>
      </w:r>
      <w:r>
        <w:rPr>
          <w:rFonts w:ascii="Arial" w:hAnsi="Arial" w:eastAsia="Arial"/>
        </w:rPr>
        <w:t>замена дверей, капота, крышки багажника/задней двери и крыльев облегчёнными композитными или иными деталями с целью снижения массы;</w:t>
      </w:r>
    </w:p>
    <w:p>
      <w:pPr>
        <w:ind w:left="312" w:hanging="198"/>
      </w:pPr>
      <w:r>
        <w:rPr>
          <w:rFonts w:ascii="Arial" w:hAnsi="Arial" w:eastAsia="Arial"/>
          <w:b/>
          <w:color w:val="910000"/>
        </w:rPr>
        <w:t xml:space="preserve">• </w:t>
      </w:r>
      <w:r>
        <w:rPr>
          <w:rFonts w:ascii="Arial" w:hAnsi="Arial" w:eastAsia="Arial"/>
        </w:rPr>
        <w:t>замена штатного остекления пластиковым;</w:t>
      </w:r>
    </w:p>
    <w:p>
      <w:pPr>
        <w:ind w:left="312" w:hanging="198"/>
      </w:pPr>
      <w:r>
        <w:rPr>
          <w:rFonts w:ascii="Arial" w:hAnsi="Arial" w:eastAsia="Arial"/>
          <w:b/>
          <w:color w:val="910000"/>
        </w:rPr>
        <w:t xml:space="preserve">• </w:t>
      </w:r>
      <w:r>
        <w:rPr>
          <w:rFonts w:ascii="Arial" w:hAnsi="Arial" w:eastAsia="Arial"/>
        </w:rPr>
        <w:t>демонтаж штатных элементов интерьера исключительно в целях снижения массы, изменения центра тяжести или последующей компенсации снятой массы балластом; приборная панель и штатные внутренние панели передних дверей должны сохраняться;</w:t>
      </w:r>
    </w:p>
    <w:p>
      <w:pPr>
        <w:ind w:left="312" w:hanging="198"/>
      </w:pPr>
      <w:r>
        <w:rPr>
          <w:rFonts w:ascii="Arial" w:hAnsi="Arial" w:eastAsia="Arial"/>
          <w:b/>
          <w:color w:val="910000"/>
        </w:rPr>
        <w:t xml:space="preserve">• </w:t>
      </w:r>
      <w:r>
        <w:rPr>
          <w:rFonts w:ascii="Arial" w:hAnsi="Arial" w:eastAsia="Arial"/>
        </w:rPr>
        <w:t>специальные кулачковые и гоночные секвентальные коробки передач;</w:t>
      </w:r>
    </w:p>
    <w:p>
      <w:pPr>
        <w:ind w:left="312" w:hanging="198"/>
      </w:pPr>
      <w:r>
        <w:rPr>
          <w:rFonts w:ascii="Arial" w:hAnsi="Arial" w:eastAsia="Arial"/>
          <w:b/>
          <w:color w:val="910000"/>
        </w:rPr>
        <w:t xml:space="preserve">• </w:t>
      </w:r>
      <w:r>
        <w:rPr>
          <w:rFonts w:ascii="Arial" w:hAnsi="Arial" w:eastAsia="Arial"/>
        </w:rPr>
        <w:t>нештатная гоночная аэродинамика: сплиттеры, отдельно стоящие антикрылья, канарды, развитые диффузоры и аналогичные элементы. Допускаются штатные аэродинамические элементы, предусмотренные производителем для данного кузова или модельного ряда.</w:t>
      </w:r>
    </w:p>
    <w:p>
      <w:pPr/>
      <w:r>
        <w:rPr>
          <w:rFonts w:ascii="Arial" w:hAnsi="Arial" w:eastAsia="Arial"/>
        </w:rPr>
        <w:t>8.3. Демонтаж элементов, необходимый для установки каркаса, спортивных сидений, ремней, системы пожаротушения и иного оборудования безопасности, допускается и сам по себе не является основанием для выхода из СТОК.</w:t>
      </w:r>
    </w:p>
    <w:p>
      <w:pPr/>
      <w:r>
        <w:rPr>
          <w:rFonts w:ascii="Arial" w:hAnsi="Arial" w:eastAsia="Arial"/>
        </w:rPr>
        <w:t>8.4. Доработки двигателя сами по себе не ограничиваются; фактическая мощность не должна превышать 120 л.с.</w:t>
      </w:r>
    </w:p>
    <w:p>
      <w:pPr/>
      <w:r>
        <w:rPr>
          <w:rFonts w:ascii="Arial" w:hAnsi="Arial" w:eastAsia="Arial"/>
        </w:rPr>
        <w:t>8.5. Доработки тормозов, амортизаторов, пружин, койловеров, стабилизаторов, регулировки геометрии, блокировки дифференциала, ЭБУ, впуска и выпуска сами по себе класс не меняют, если не нарушены запреты настоящего раздела.</w:t>
      </w:r>
    </w:p>
    <w:p>
      <w:pPr>
        <w:pStyle w:val="Heading1"/>
      </w:pPr>
      <w:r>
        <w:t>9. ТЕХНИЧЕСКИЕ ОГРАНИЧЕНИЯ КЛАССОВ СТРИТ / ЛАЙТ / ТРЕК / СПОРТ</w:t>
      </w:r>
    </w:p>
    <w:p>
      <w:pPr/>
      <w:r>
        <w:rPr>
          <w:rFonts w:ascii="Arial" w:hAnsi="Arial" w:eastAsia="Arial"/>
        </w:rPr>
        <w:t>9.1. Разрешены любые технические доработки, кроме прямо запрещённых настоящим разделом.</w:t>
      </w:r>
    </w:p>
    <w:p>
      <w:pPr/>
      <w:r>
        <w:rPr>
          <w:rFonts w:ascii="Arial" w:hAnsi="Arial" w:eastAsia="Arial"/>
        </w:rPr>
        <w:t>9.2. Доработки двигателя, замена двигателя, наддув, ЭБУ, любые коробки передач (включая кулачковые и секвентальные), дифференциалы, изменение типа привода, подвеска, перенос точек её крепления, изготовленные подрамники, изменение кинематики, тормоза, облегчение, спортивный салон, сплиттеры, антикрылья, обычные диффузоры и канарды сами по себе класс не изменяют.</w:t>
      </w:r>
    </w:p>
    <w:p>
      <w:pPr/>
      <w:r>
        <w:rPr>
          <w:rFonts w:ascii="Arial" w:hAnsi="Arial" w:eastAsia="Arial"/>
        </w:rPr>
        <w:t>9.3. Запрещаются:</w:t>
      </w:r>
    </w:p>
    <w:p>
      <w:pPr>
        <w:ind w:left="312" w:hanging="198"/>
      </w:pPr>
      <w:r>
        <w:rPr>
          <w:rFonts w:ascii="Arial" w:hAnsi="Arial" w:eastAsia="Arial"/>
          <w:b/>
          <w:color w:val="910000"/>
        </w:rPr>
        <w:t xml:space="preserve">• </w:t>
      </w:r>
      <w:r>
        <w:rPr>
          <w:rFonts w:ascii="Arial" w:hAnsi="Arial" w:eastAsia="Arial"/>
        </w:rPr>
        <w:t>удаление или изменение основной несущей структуры в объёме, при котором серийный кузов/шасси перестаёт выполнять роль основной силовой конструкции;</w:t>
      </w:r>
    </w:p>
    <w:p>
      <w:pPr>
        <w:ind w:left="312" w:hanging="198"/>
      </w:pPr>
      <w:r>
        <w:rPr>
          <w:rFonts w:ascii="Arial" w:hAnsi="Arial" w:eastAsia="Arial"/>
          <w:b/>
          <w:color w:val="910000"/>
        </w:rPr>
        <w:t xml:space="preserve">• </w:t>
      </w:r>
      <w:r>
        <w:rPr>
          <w:rFonts w:ascii="Arial" w:hAnsi="Arial" w:eastAsia="Arial"/>
        </w:rPr>
        <w:t>использование серийного кузова преимущественно как декоративной оболочки вокруг пространственной конструкции;</w:t>
      </w:r>
    </w:p>
    <w:p>
      <w:pPr>
        <w:ind w:left="312" w:hanging="198"/>
      </w:pPr>
      <w:r>
        <w:rPr>
          <w:rFonts w:ascii="Arial" w:hAnsi="Arial" w:eastAsia="Arial"/>
          <w:b/>
          <w:color w:val="910000"/>
        </w:rPr>
        <w:t xml:space="preserve">• </w:t>
      </w:r>
      <w:r>
        <w:rPr>
          <w:rFonts w:ascii="Arial" w:hAnsi="Arial" w:eastAsia="Arial"/>
        </w:rPr>
        <w:t>развитые аэродинамические тоннели в днище, тоннели Вентури и полноценный граунд-эффект;</w:t>
      </w:r>
    </w:p>
    <w:p>
      <w:pPr>
        <w:ind w:left="312" w:hanging="198"/>
      </w:pPr>
      <w:r>
        <w:rPr>
          <w:rFonts w:ascii="Arial" w:hAnsi="Arial" w:eastAsia="Arial"/>
          <w:b/>
          <w:color w:val="910000"/>
        </w:rPr>
        <w:t xml:space="preserve">• </w:t>
      </w:r>
      <w:r>
        <w:rPr>
          <w:rFonts w:ascii="Arial" w:hAnsi="Arial" w:eastAsia="Arial"/>
        </w:rPr>
        <w:t>нештатная активная аэродинамика, изменяющая положение или конфигурацию элементов во время движения.</w:t>
      </w:r>
    </w:p>
    <w:p>
      <w:pPr/>
      <w:r>
        <w:rPr>
          <w:rFonts w:ascii="Arial" w:hAnsi="Arial" w:eastAsia="Arial"/>
        </w:rPr>
        <w:t>9.4. Заводская активная аэродинамика серийного автомобиля допускается.</w:t>
      </w:r>
    </w:p>
    <w:p>
      <w:pPr/>
      <w:r>
        <w:rPr>
          <w:rFonts w:ascii="Arial" w:hAnsi="Arial" w:eastAsia="Arial"/>
        </w:rPr>
        <w:t>9.5. Облегчённые передние двери и удаление штатной боковой защиты допускаются только при наличии соответствующей боковой защиты каркаса согласно разделу 2.</w:t>
      </w:r>
    </w:p>
    <w:p>
      <w:pPr/>
      <w:r>
        <w:rPr>
          <w:rFonts w:ascii="Arial" w:hAnsi="Arial" w:eastAsia="Arial"/>
        </w:rPr>
        <w:t>9.6. В ЛАЙТ фактическая мощность не должна превышать 160 л.с.</w:t>
      </w:r>
    </w:p>
    <w:p>
      <w:pPr>
        <w:pStyle w:val="Heading1"/>
      </w:pPr>
      <w:r>
        <w:t>10. ТЕХНИЧЕСКИЕ ОГРАНИЧЕНИЯ КЛАССА ПРО</w:t>
      </w:r>
    </w:p>
    <w:p>
      <w:pPr/>
      <w:r>
        <w:rPr>
          <w:rFonts w:ascii="Arial" w:hAnsi="Arial" w:eastAsia="Arial"/>
        </w:rPr>
        <w:t>10.1. Для ПРО действуют одновременно К ≥3,5 кг/л.с. и фактическая мощность не более 350 л.с.</w:t>
      </w:r>
    </w:p>
    <w:p>
      <w:pPr/>
      <w:r>
        <w:rPr>
          <w:rFonts w:ascii="Arial" w:hAnsi="Arial" w:eastAsia="Arial"/>
        </w:rPr>
        <w:t>10.2. Разрешены любые технические доработки, кроме прямо запрещённых настоящим разделом и требованиями безопасности.</w:t>
      </w:r>
    </w:p>
    <w:p>
      <w:pPr/>
      <w:r>
        <w:rPr>
          <w:rFonts w:ascii="Arial" w:hAnsi="Arial" w:eastAsia="Arial"/>
        </w:rPr>
        <w:t>10.3. Запрещаются:</w:t>
      </w:r>
    </w:p>
    <w:p>
      <w:pPr>
        <w:ind w:left="312" w:hanging="198"/>
      </w:pPr>
      <w:r>
        <w:rPr>
          <w:rFonts w:ascii="Arial" w:hAnsi="Arial" w:eastAsia="Arial"/>
          <w:b/>
          <w:color w:val="910000"/>
        </w:rPr>
        <w:t xml:space="preserve">• </w:t>
      </w:r>
      <w:r>
        <w:rPr>
          <w:rFonts w:ascii="Arial" w:hAnsi="Arial" w:eastAsia="Arial"/>
        </w:rPr>
        <w:t>замена серийного несущего кузова/шасси полноценной пространственной рамой либо конструкция, при которой серийный кузов перестаёт выполнять функцию основной силовой структуры;</w:t>
      </w:r>
    </w:p>
    <w:p>
      <w:pPr>
        <w:ind w:left="312" w:hanging="198"/>
      </w:pPr>
      <w:r>
        <w:rPr>
          <w:rFonts w:ascii="Arial" w:hAnsi="Arial" w:eastAsia="Arial"/>
          <w:b/>
          <w:color w:val="910000"/>
        </w:rPr>
        <w:t xml:space="preserve">• </w:t>
      </w:r>
      <w:r>
        <w:rPr>
          <w:rFonts w:ascii="Arial" w:hAnsi="Arial" w:eastAsia="Arial"/>
        </w:rPr>
        <w:t>использование серийного кузова преимущественно как декоративной оболочки прототипа;</w:t>
      </w:r>
    </w:p>
    <w:p>
      <w:pPr>
        <w:ind w:left="312" w:hanging="198"/>
      </w:pPr>
      <w:r>
        <w:rPr>
          <w:rFonts w:ascii="Arial" w:hAnsi="Arial" w:eastAsia="Arial"/>
          <w:b/>
          <w:color w:val="910000"/>
        </w:rPr>
        <w:t xml:space="preserve">• </w:t>
      </w:r>
      <w:r>
        <w:rPr>
          <w:rFonts w:ascii="Arial" w:hAnsi="Arial" w:eastAsia="Arial"/>
        </w:rPr>
        <w:t>нештатная активная аэродинамика;</w:t>
      </w:r>
    </w:p>
    <w:p>
      <w:pPr>
        <w:ind w:left="312" w:hanging="198"/>
      </w:pPr>
      <w:r>
        <w:rPr>
          <w:rFonts w:ascii="Arial" w:hAnsi="Arial" w:eastAsia="Arial"/>
          <w:b/>
          <w:color w:val="910000"/>
        </w:rPr>
        <w:t xml:space="preserve">• </w:t>
      </w:r>
      <w:r>
        <w:rPr>
          <w:rFonts w:ascii="Arial" w:hAnsi="Arial" w:eastAsia="Arial"/>
        </w:rPr>
        <w:t>любые решения, не соответствующие требованиям безопасности.</w:t>
      </w:r>
    </w:p>
    <w:p>
      <w:pPr/>
      <w:r>
        <w:rPr>
          <w:rFonts w:ascii="Arial" w:hAnsi="Arial" w:eastAsia="Arial"/>
        </w:rPr>
        <w:t>10.4. Слики, специализированные гоночные дождевые шины, грелки, любая ширина колёс/шин, перенос точек подвески, развитая аэродинамика, пластиковое остекление, любые коробки передач и доработки двигателя допускаются при соблюдении п. 10.1 и требований безопасности.</w:t>
      </w:r>
    </w:p>
    <w:p>
      <w:pPr>
        <w:pStyle w:val="Heading1"/>
      </w:pPr>
      <w:r>
        <w:t>11. КЛАСС АБСОЛЮТ</w:t>
      </w:r>
    </w:p>
    <w:p>
      <w:pPr/>
      <w:r>
        <w:rPr>
          <w:rFonts w:ascii="Arial" w:hAnsi="Arial" w:eastAsia="Arial"/>
        </w:rPr>
        <w:t>11.1. В АБСОЛЮТ ограничения по мощности, коэффициенту К, типу двигателя, наддуву, приводу, трансмиссии, подвеске, конструкции шасси, аэродинамике, массе, ширине и типу шин не устанавливаются.</w:t>
      </w:r>
    </w:p>
    <w:p>
      <w:pPr/>
      <w:r>
        <w:rPr>
          <w:rFonts w:ascii="Arial" w:hAnsi="Arial" w:eastAsia="Arial"/>
        </w:rPr>
        <w:t>11.2. Допускаются слики, гоночные дождевые шины, грелки, пространственные конструкции, прототипы и активная аэродинамика.</w:t>
      </w:r>
    </w:p>
    <w:p>
      <w:pPr/>
      <w:r>
        <w:rPr>
          <w:rFonts w:ascii="Arial" w:hAnsi="Arial" w:eastAsia="Arial"/>
        </w:rPr>
        <w:t>11.3. Обязательными являются требования безопасности настоящего Регламента и действующие условия допуска ADM Raceway. Для транспортных средств, требующих отдельного согласования с автодромом, такое согласование обязательно до выезда.</w:t>
      </w:r>
    </w:p>
    <w:p>
      <w:pPr>
        <w:pStyle w:val="Heading1"/>
      </w:pPr>
      <w:r>
        <w:t>12. ТОПЛИВО И ТОПЛИВНАЯ СИСТЕМА</w:t>
      </w:r>
    </w:p>
    <w:p>
      <w:pPr/>
      <w:r>
        <w:rPr>
          <w:rFonts w:ascii="Arial" w:hAnsi="Arial" w:eastAsia="Arial"/>
        </w:rPr>
        <w:t>12.1. Тип топлива не ограничивается. Допускается дорожное, спортивное и альтернативное топливо. Изменение мощности вследствие выбора топлива учитывается через фактическую мощность ДВС.</w:t>
      </w:r>
    </w:p>
    <w:p>
      <w:pPr/>
      <w:r>
        <w:rPr>
          <w:rFonts w:ascii="Arial" w:hAnsi="Arial" w:eastAsia="Arial"/>
        </w:rPr>
        <w:t>12.2. Топливная система должна быть исправна, герметична и безопасно закреплена. Утечки топлива не допускаются.</w:t>
      </w:r>
    </w:p>
    <w:p>
      <w:pPr/>
      <w:r>
        <w:rPr>
          <w:rFonts w:ascii="Arial" w:hAnsi="Arial" w:eastAsia="Arial"/>
        </w:rPr>
        <w:t>12.3. Установка дополнительных топливных ёмкостей, не необходимых для нормальной работы автомобиля и используемых преимущественно для искусственного увеличения массы или изменения развесовки, запрещается. Переносные ёмкости с топливом в качестве балласта запрещены.</w:t>
      </w:r>
    </w:p>
    <w:p>
      <w:pPr/>
      <w:r>
        <w:rPr>
          <w:rFonts w:ascii="Arial" w:hAnsi="Arial" w:eastAsia="Arial"/>
        </w:rPr>
        <w:t>12.4. Заправка и обращение с топливом выполняются в соответствии с действующими правилами ADM Raceway. В частности, заправка производится в отведённой зоне при заглушённом двигателе и с готовым к применению огнетушителем рядом с местом заправки.</w:t>
      </w:r>
    </w:p>
    <w:p>
      <w:pPr>
        <w:pStyle w:val="Heading1"/>
      </w:pPr>
      <w:r>
        <w:t>13. ТЕХНИЧЕСКИЙ КОНТРОЛЬ И САНКЦИИ</w:t>
      </w:r>
    </w:p>
    <w:p>
      <w:pPr/>
      <w:r>
        <w:rPr>
          <w:rFonts w:ascii="Arial" w:hAnsi="Arial" w:eastAsia="Arial"/>
        </w:rPr>
        <w:t>13.1. До начала зачётных заездов техком вправе потребовать устранить выявленное техническое несоответствие либо не допустить автомобиль до его устранения. Изменение класса по инициативе техкома производится только вследствие расчёта коэффициента К. Участник вправе добровольно заявить более высокий класс согласно п. 1.9.</w:t>
      </w:r>
    </w:p>
    <w:p>
      <w:pPr/>
      <w:r>
        <w:rPr>
          <w:rFonts w:ascii="Arial" w:hAnsi="Arial" w:eastAsia="Arial"/>
        </w:rPr>
        <w:t>13.2. После получения зачётного результата несоответствие минимальному коэффициенту К не считается самостоятельным нарушением и влечёт автоматический перенос результата в ближайший более высокий класс, требованиям которого автомобиль соответствует.</w:t>
      </w:r>
    </w:p>
    <w:p>
      <w:pPr/>
      <w:r>
        <w:rPr>
          <w:rFonts w:ascii="Arial" w:hAnsi="Arial" w:eastAsia="Arial"/>
        </w:rPr>
        <w:t>13.3. Автоматический перенос применяется только при несоблюдении коэффициента К.</w:t>
      </w:r>
    </w:p>
    <w:p>
      <w:pPr/>
      <w:r>
        <w:rPr>
          <w:rFonts w:ascii="Arial" w:hAnsi="Arial" w:eastAsia="Arial"/>
        </w:rPr>
        <w:t>13.4. Нарушение любого другого обязательного требования, выявленное в зачётной конфигурации во время или после официальных заездов, влечёт дисквалификацию результата участника на этапе.</w:t>
      </w:r>
    </w:p>
    <w:p>
      <w:pPr/>
      <w:r>
        <w:rPr>
          <w:rFonts w:ascii="Arial" w:hAnsi="Arial" w:eastAsia="Arial"/>
        </w:rPr>
        <w:t>13.5. К нарушениям, в частности, относятся:</w:t>
      </w:r>
    </w:p>
    <w:p>
      <w:pPr>
        <w:ind w:left="312" w:hanging="198"/>
      </w:pPr>
      <w:r>
        <w:rPr>
          <w:rFonts w:ascii="Arial" w:hAnsi="Arial" w:eastAsia="Arial"/>
          <w:b/>
          <w:color w:val="910000"/>
        </w:rPr>
        <w:t xml:space="preserve">• </w:t>
      </w:r>
      <w:r>
        <w:rPr>
          <w:rFonts w:ascii="Arial" w:hAnsi="Arial" w:eastAsia="Arial"/>
        </w:rPr>
        <w:t>превышение максимальной фактической мощности класса (120 л.с. в СТОК, 160 л.с. в ЛАЙТ, 350 л.с. в ПРО);</w:t>
      </w:r>
    </w:p>
    <w:p>
      <w:pPr>
        <w:ind w:left="312" w:hanging="198"/>
      </w:pPr>
      <w:r>
        <w:rPr>
          <w:rFonts w:ascii="Arial" w:hAnsi="Arial" w:eastAsia="Arial"/>
          <w:b/>
          <w:color w:val="910000"/>
        </w:rPr>
        <w:t xml:space="preserve">• </w:t>
      </w:r>
      <w:r>
        <w:rPr>
          <w:rFonts w:ascii="Arial" w:hAnsi="Arial" w:eastAsia="Arial"/>
        </w:rPr>
        <w:t>использование запрещённой категории шин, превышение разрешённой ширины или использование не классифицированной Организатором шины/компаунда без предварительного согласования;</w:t>
      </w:r>
    </w:p>
    <w:p>
      <w:pPr>
        <w:ind w:left="312" w:hanging="198"/>
      </w:pPr>
      <w:r>
        <w:rPr>
          <w:rFonts w:ascii="Arial" w:hAnsi="Arial" w:eastAsia="Arial"/>
          <w:b/>
          <w:color w:val="910000"/>
        </w:rPr>
        <w:t xml:space="preserve">• </w:t>
      </w:r>
      <w:r>
        <w:rPr>
          <w:rFonts w:ascii="Arial" w:hAnsi="Arial" w:eastAsia="Arial"/>
        </w:rPr>
        <w:t>использование технического решения, запрещённого для заявленного класса;</w:t>
      </w:r>
    </w:p>
    <w:p>
      <w:pPr>
        <w:ind w:left="312" w:hanging="198"/>
      </w:pPr>
      <w:r>
        <w:rPr>
          <w:rFonts w:ascii="Arial" w:hAnsi="Arial" w:eastAsia="Arial"/>
          <w:b/>
          <w:color w:val="910000"/>
        </w:rPr>
        <w:t xml:space="preserve">• </w:t>
      </w:r>
      <w:r>
        <w:rPr>
          <w:rFonts w:ascii="Arial" w:hAnsi="Arial" w:eastAsia="Arial"/>
        </w:rPr>
        <w:t>отказ от обязательного контрольного взвешивания или самовольное изменение массы перед ним;</w:t>
      </w:r>
    </w:p>
    <w:p>
      <w:pPr>
        <w:ind w:left="312" w:hanging="198"/>
      </w:pPr>
      <w:r>
        <w:rPr>
          <w:rFonts w:ascii="Arial" w:hAnsi="Arial" w:eastAsia="Arial"/>
          <w:b/>
          <w:color w:val="910000"/>
        </w:rPr>
        <w:t xml:space="preserve">• </w:t>
      </w:r>
      <w:r>
        <w:rPr>
          <w:rFonts w:ascii="Arial" w:hAnsi="Arial" w:eastAsia="Arial"/>
        </w:rPr>
        <w:t>непредоставление пригодной обязательной GPS-телеметрии при отсутствии допустимой резервной телеметрии;</w:t>
      </w:r>
    </w:p>
    <w:p>
      <w:pPr>
        <w:ind w:left="312" w:hanging="198"/>
      </w:pPr>
      <w:r>
        <w:rPr>
          <w:rFonts w:ascii="Arial" w:hAnsi="Arial" w:eastAsia="Arial"/>
          <w:b/>
          <w:color w:val="910000"/>
        </w:rPr>
        <w:t xml:space="preserve">• </w:t>
      </w:r>
      <w:r>
        <w:rPr>
          <w:rFonts w:ascii="Arial" w:hAnsi="Arial" w:eastAsia="Arial"/>
        </w:rPr>
        <w:t>сокрытие более мощной доступной карты/режима мощности;</w:t>
      </w:r>
    </w:p>
    <w:p>
      <w:pPr>
        <w:ind w:left="312" w:hanging="198"/>
      </w:pPr>
      <w:r>
        <w:rPr>
          <w:rFonts w:ascii="Arial" w:hAnsi="Arial" w:eastAsia="Arial"/>
          <w:b/>
          <w:color w:val="910000"/>
        </w:rPr>
        <w:t xml:space="preserve">• </w:t>
      </w:r>
      <w:r>
        <w:rPr>
          <w:rFonts w:ascii="Arial" w:hAnsi="Arial" w:eastAsia="Arial"/>
        </w:rPr>
        <w:t>подмена, фальсификация или умышленное искажение данных телеметрии;</w:t>
      </w:r>
    </w:p>
    <w:p>
      <w:pPr>
        <w:ind w:left="312" w:hanging="198"/>
      </w:pPr>
      <w:r>
        <w:rPr>
          <w:rFonts w:ascii="Arial" w:hAnsi="Arial" w:eastAsia="Arial"/>
          <w:b/>
          <w:color w:val="910000"/>
        </w:rPr>
        <w:t xml:space="preserve">• </w:t>
      </w:r>
      <w:r>
        <w:rPr>
          <w:rFonts w:ascii="Arial" w:hAnsi="Arial" w:eastAsia="Arial"/>
        </w:rPr>
        <w:t>предоставление заведомо недостоверных сведений о технической конфигурации.</w:t>
      </w:r>
    </w:p>
    <w:p>
      <w:pPr/>
      <w:r>
        <w:rPr>
          <w:rFonts w:ascii="Arial" w:hAnsi="Arial" w:eastAsia="Arial"/>
        </w:rPr>
        <w:t>13.6. Порог 5% по истории калибровок не является разрешённым превышением максимальной мощности класса.</w:t>
      </w:r>
    </w:p>
    <w:p>
      <w:pPr/>
      <w:r>
        <w:rPr>
          <w:rFonts w:ascii="Arial" w:hAnsi="Arial" w:eastAsia="Arial"/>
        </w:rPr>
        <w:t>13.7. Если одновременно выявлено несоответствие коэффициенту К и любое иное нарушение обязательных требований класса, применяется дисквалификация; автоматический перенос вверх не производится.</w:t>
      </w:r>
    </w:p>
    <w:p>
      <w:pPr/>
      <w:r>
        <w:rPr>
          <w:rFonts w:ascii="Arial" w:hAnsi="Arial" w:eastAsia="Arial"/>
        </w:rPr>
        <w:t>13.8. Добровольный перенос в более высокий класс не отменяет нарушений, совершённых до момента переноса, и не восстанавливает ранее дисквалифицированный результат.</w:t>
      </w:r>
    </w:p>
    <w:p>
      <w:pPr/>
      <w:r>
        <w:rPr>
          <w:rFonts w:ascii="Arial" w:hAnsi="Arial" w:eastAsia="Arial"/>
        </w:rPr>
        <w:t>13.9. Перенос в более низкий класс после начала этапа не производится.</w:t>
      </w:r>
    </w:p>
    <w:p>
      <w:pPr/>
      <w:r>
        <w:rPr>
          <w:rFonts w:ascii="Arial" w:hAnsi="Arial" w:eastAsia="Arial"/>
        </w:rPr>
        <w:t>13.10. Решение техкома по пригодности телеметрии, безопасности автомобиля и факту технического несоответствия фиксируется в карточке или протоколе технического контроля.</w:t>
      </w:r>
    </w:p>
    <w:p>
      <w:pPr>
        <w:pStyle w:val="Heading1"/>
      </w:pPr>
      <w:r>
        <w:t>ПРИЛОЖЕНИЕ №1. КЛАССИФИКАТОР ШИН</w:t>
      </w:r>
    </w:p>
    <w:p>
      <w:pPr/>
      <w:r>
        <w:rPr>
          <w:rFonts w:ascii="Arial" w:hAnsi="Arial" w:eastAsia="Arial"/>
        </w:rPr>
        <w:t>Классификатор применяется к конкретной модели и, при наличии нескольких составов, к конкретному компаунду. Перечень может уточняться Организатором бюллетенем. Неуказанная шина должна быть классифицирована до зачётной сессии.</w:t>
      </w:r>
    </w:p>
    <w:p>
      <w:pPr>
        <w:pStyle w:val="Heading2"/>
      </w:pPr>
      <w:r>
        <w:t>A. ROAD</w:t>
      </w:r>
    </w:p>
    <w:p>
      <w:pPr/>
      <w:r>
        <w:rPr>
          <w:rFonts w:ascii="Arial" w:hAnsi="Arial" w:eastAsia="Arial"/>
        </w:rPr>
        <w:t>Гражданские дорожные шины. Для допуска в СТОК дополнительно требуется подтверждённый Treadwear ≥300.</w:t>
      </w:r>
    </w:p>
    <w:p>
      <w:pPr>
        <w:ind w:left="312" w:hanging="198"/>
      </w:pPr>
      <w:r>
        <w:rPr>
          <w:rFonts w:ascii="Arial" w:hAnsi="Arial" w:eastAsia="Arial"/>
          <w:b/>
          <w:color w:val="910000"/>
        </w:rPr>
        <w:t xml:space="preserve">• </w:t>
      </w:r>
      <w:r>
        <w:rPr>
          <w:rFonts w:ascii="Arial" w:hAnsi="Arial" w:eastAsia="Arial"/>
        </w:rPr>
        <w:t>Michelin Pilot Sport 3 / 4 / 4S / 5 / S5 (дорожные версии);</w:t>
      </w:r>
    </w:p>
    <w:p>
      <w:pPr>
        <w:ind w:left="312" w:hanging="198"/>
      </w:pPr>
      <w:r>
        <w:rPr>
          <w:rFonts w:ascii="Arial" w:hAnsi="Arial" w:eastAsia="Arial"/>
          <w:b/>
          <w:color w:val="910000"/>
        </w:rPr>
        <w:t xml:space="preserve">• </w:t>
      </w:r>
      <w:r>
        <w:rPr>
          <w:rFonts w:ascii="Arial" w:hAnsi="Arial" w:eastAsia="Arial"/>
        </w:rPr>
        <w:t>Pirelli P Zero — обычные дорожные версии;</w:t>
      </w:r>
    </w:p>
    <w:p>
      <w:pPr>
        <w:ind w:left="312" w:hanging="198"/>
      </w:pPr>
      <w:r>
        <w:rPr>
          <w:rFonts w:ascii="Arial" w:hAnsi="Arial" w:eastAsia="Arial"/>
          <w:b/>
          <w:color w:val="910000"/>
        </w:rPr>
        <w:t xml:space="preserve">• </w:t>
      </w:r>
      <w:r>
        <w:rPr>
          <w:rFonts w:ascii="Arial" w:hAnsi="Arial" w:eastAsia="Arial"/>
        </w:rPr>
        <w:t>Sailun Atrezzo ZSR и сопоставимые гражданские дорожные модели;</w:t>
      </w:r>
    </w:p>
    <w:p>
      <w:pPr>
        <w:ind w:left="312" w:hanging="198"/>
      </w:pPr>
      <w:r>
        <w:rPr>
          <w:rFonts w:ascii="Arial" w:hAnsi="Arial" w:eastAsia="Arial"/>
          <w:b/>
          <w:color w:val="910000"/>
        </w:rPr>
        <w:t xml:space="preserve">• </w:t>
      </w:r>
      <w:r>
        <w:rPr>
          <w:rFonts w:ascii="Arial" w:hAnsi="Arial" w:eastAsia="Arial"/>
        </w:rPr>
        <w:t>иные дорожные шины, отнесённые Организатором к ROAD.</w:t>
      </w:r>
    </w:p>
    <w:p>
      <w:pPr>
        <w:pStyle w:val="Note"/>
      </w:pPr>
      <w:r>
        <w:rPr>
          <w:rFonts w:ascii="Arial" w:hAnsi="Arial" w:eastAsia="Arial"/>
        </w:rPr>
        <w:t>Наличие маркировки TW300 само по себе не гарантирует допуск в СТОК, если конкретная модель отнесена к UHP или TRACK.</w:t>
      </w:r>
    </w:p>
    <w:p>
      <w:pPr>
        <w:pStyle w:val="Heading2"/>
      </w:pPr>
      <w:r>
        <w:t>B. UHP</w:t>
      </w:r>
    </w:p>
    <w:p>
      <w:pPr>
        <w:ind w:left="312" w:hanging="198"/>
      </w:pPr>
      <w:r>
        <w:rPr>
          <w:rFonts w:ascii="Arial" w:hAnsi="Arial" w:eastAsia="Arial"/>
          <w:b/>
          <w:color w:val="910000"/>
        </w:rPr>
        <w:t xml:space="preserve">• </w:t>
      </w:r>
      <w:r>
        <w:rPr>
          <w:rFonts w:ascii="Arial" w:hAnsi="Arial" w:eastAsia="Arial"/>
        </w:rPr>
        <w:t>Yokohama ADVAN Neova AD09;</w:t>
      </w:r>
    </w:p>
    <w:p>
      <w:pPr>
        <w:ind w:left="312" w:hanging="198"/>
      </w:pPr>
      <w:r>
        <w:rPr>
          <w:rFonts w:ascii="Arial" w:hAnsi="Arial" w:eastAsia="Arial"/>
          <w:b/>
          <w:color w:val="910000"/>
        </w:rPr>
        <w:t xml:space="preserve">• </w:t>
      </w:r>
      <w:r>
        <w:rPr>
          <w:rFonts w:ascii="Arial" w:hAnsi="Arial" w:eastAsia="Arial"/>
        </w:rPr>
        <w:t>Yokohama ADVAN Neova AD08R;</w:t>
      </w:r>
    </w:p>
    <w:p>
      <w:pPr>
        <w:ind w:left="312" w:hanging="198"/>
      </w:pPr>
      <w:r>
        <w:rPr>
          <w:rFonts w:ascii="Arial" w:hAnsi="Arial" w:eastAsia="Arial"/>
          <w:b/>
          <w:color w:val="910000"/>
        </w:rPr>
        <w:t xml:space="preserve">• </w:t>
      </w:r>
      <w:r>
        <w:rPr>
          <w:rFonts w:ascii="Arial" w:hAnsi="Arial" w:eastAsia="Arial"/>
        </w:rPr>
        <w:t>Hankook Ventus RS4;</w:t>
      </w:r>
    </w:p>
    <w:p>
      <w:pPr>
        <w:ind w:left="312" w:hanging="198"/>
      </w:pPr>
      <w:r>
        <w:rPr>
          <w:rFonts w:ascii="Arial" w:hAnsi="Arial" w:eastAsia="Arial"/>
          <w:b/>
          <w:color w:val="910000"/>
        </w:rPr>
        <w:t xml:space="preserve">• </w:t>
      </w:r>
      <w:r>
        <w:rPr>
          <w:rFonts w:ascii="Arial" w:hAnsi="Arial" w:eastAsia="Arial"/>
        </w:rPr>
        <w:t>Hankook Ventus RS3;</w:t>
      </w:r>
    </w:p>
    <w:p>
      <w:pPr>
        <w:ind w:left="312" w:hanging="198"/>
      </w:pPr>
      <w:r>
        <w:rPr>
          <w:rFonts w:ascii="Arial" w:hAnsi="Arial" w:eastAsia="Arial"/>
          <w:b/>
          <w:color w:val="910000"/>
        </w:rPr>
        <w:t xml:space="preserve">• </w:t>
      </w:r>
      <w:r>
        <w:rPr>
          <w:rFonts w:ascii="Arial" w:hAnsi="Arial" w:eastAsia="Arial"/>
        </w:rPr>
        <w:t>Nankang NS-2R — все дорожные спортивные компаунды;</w:t>
      </w:r>
    </w:p>
    <w:p>
      <w:pPr>
        <w:ind w:left="312" w:hanging="198"/>
      </w:pPr>
      <w:r>
        <w:rPr>
          <w:rFonts w:ascii="Arial" w:hAnsi="Arial" w:eastAsia="Arial"/>
          <w:b/>
          <w:color w:val="910000"/>
        </w:rPr>
        <w:t xml:space="preserve">• </w:t>
      </w:r>
      <w:r>
        <w:rPr>
          <w:rFonts w:ascii="Arial" w:hAnsi="Arial" w:eastAsia="Arial"/>
        </w:rPr>
        <w:t>Shibata R23 TW300 — не допускается в СТОК;</w:t>
      </w:r>
    </w:p>
    <w:p>
      <w:pPr>
        <w:ind w:left="312" w:hanging="198"/>
      </w:pPr>
      <w:r>
        <w:rPr>
          <w:rFonts w:ascii="Arial" w:hAnsi="Arial" w:eastAsia="Arial"/>
          <w:b/>
          <w:color w:val="910000"/>
        </w:rPr>
        <w:t xml:space="preserve">• </w:t>
      </w:r>
      <w:r>
        <w:rPr>
          <w:rFonts w:ascii="Arial" w:hAnsi="Arial" w:eastAsia="Arial"/>
        </w:rPr>
        <w:t>Shibata R23 TW280;</w:t>
      </w:r>
    </w:p>
    <w:p>
      <w:pPr>
        <w:ind w:left="312" w:hanging="198"/>
      </w:pPr>
      <w:r>
        <w:rPr>
          <w:rFonts w:ascii="Arial" w:hAnsi="Arial" w:eastAsia="Arial"/>
          <w:b/>
          <w:color w:val="910000"/>
        </w:rPr>
        <w:t xml:space="preserve">• </w:t>
      </w:r>
      <w:r>
        <w:rPr>
          <w:rFonts w:ascii="Arial" w:hAnsi="Arial" w:eastAsia="Arial"/>
        </w:rPr>
        <w:t>Goodride Sport RS TW240;</w:t>
      </w:r>
    </w:p>
    <w:p>
      <w:pPr>
        <w:ind w:left="312" w:hanging="198"/>
      </w:pPr>
      <w:r>
        <w:rPr>
          <w:rFonts w:ascii="Arial" w:hAnsi="Arial" w:eastAsia="Arial"/>
          <w:b/>
          <w:color w:val="910000"/>
        </w:rPr>
        <w:t xml:space="preserve">• </w:t>
      </w:r>
      <w:r>
        <w:rPr>
          <w:rFonts w:ascii="Arial" w:hAnsi="Arial" w:eastAsia="Arial"/>
        </w:rPr>
        <w:t>Goodride Sport RS без подтверждённого значения TW;</w:t>
      </w:r>
    </w:p>
    <w:p>
      <w:pPr>
        <w:ind w:left="312" w:hanging="198"/>
      </w:pPr>
      <w:r>
        <w:rPr>
          <w:rFonts w:ascii="Arial" w:hAnsi="Arial" w:eastAsia="Arial"/>
          <w:b/>
          <w:color w:val="910000"/>
        </w:rPr>
        <w:t xml:space="preserve">• </w:t>
      </w:r>
      <w:r>
        <w:rPr>
          <w:rFonts w:ascii="Arial" w:hAnsi="Arial" w:eastAsia="Arial"/>
        </w:rPr>
        <w:t>Westlake Sport RS без подтверждённого значения TW;</w:t>
      </w:r>
    </w:p>
    <w:p>
      <w:pPr>
        <w:ind w:left="312" w:hanging="198"/>
      </w:pPr>
      <w:r>
        <w:rPr>
          <w:rFonts w:ascii="Arial" w:hAnsi="Arial" w:eastAsia="Arial"/>
          <w:b/>
          <w:color w:val="910000"/>
        </w:rPr>
        <w:t xml:space="preserve">• </w:t>
      </w:r>
      <w:r>
        <w:rPr>
          <w:rFonts w:ascii="Arial" w:hAnsi="Arial" w:eastAsia="Arial"/>
        </w:rPr>
        <w:t>Federal 595RS-R / 595RS-RR;</w:t>
      </w:r>
    </w:p>
    <w:p>
      <w:pPr>
        <w:ind w:left="312" w:hanging="198"/>
      </w:pPr>
      <w:r>
        <w:rPr>
          <w:rFonts w:ascii="Arial" w:hAnsi="Arial" w:eastAsia="Arial"/>
          <w:b/>
          <w:color w:val="910000"/>
        </w:rPr>
        <w:t xml:space="preserve">• </w:t>
      </w:r>
      <w:r>
        <w:rPr>
          <w:rFonts w:ascii="Arial" w:hAnsi="Arial" w:eastAsia="Arial"/>
        </w:rPr>
        <w:t>Kumho Ecsta XS KU36 — версии с подтверждённым TW ≥200;</w:t>
      </w:r>
    </w:p>
    <w:p>
      <w:pPr>
        <w:ind w:left="312" w:hanging="198"/>
      </w:pPr>
      <w:r>
        <w:rPr>
          <w:rFonts w:ascii="Arial" w:hAnsi="Arial" w:eastAsia="Arial"/>
          <w:b/>
          <w:color w:val="910000"/>
        </w:rPr>
        <w:t xml:space="preserve">• </w:t>
      </w:r>
      <w:r>
        <w:rPr>
          <w:rFonts w:ascii="Arial" w:hAnsi="Arial" w:eastAsia="Arial"/>
        </w:rPr>
        <w:t>иные шины сопоставимой производительности, отнесённые Организатором к UHP.</w:t>
      </w:r>
    </w:p>
    <w:p>
      <w:pPr>
        <w:pStyle w:val="Heading2"/>
      </w:pPr>
      <w:r>
        <w:t>C. TRACK</w:t>
      </w:r>
    </w:p>
    <w:p>
      <w:pPr>
        <w:ind w:left="312" w:hanging="198"/>
      </w:pPr>
      <w:r>
        <w:rPr>
          <w:rFonts w:ascii="Arial" w:hAnsi="Arial" w:eastAsia="Arial"/>
          <w:b/>
          <w:color w:val="910000"/>
        </w:rPr>
        <w:t xml:space="preserve">• </w:t>
      </w:r>
      <w:r>
        <w:rPr>
          <w:rFonts w:ascii="Arial" w:hAnsi="Arial" w:eastAsia="Arial"/>
        </w:rPr>
        <w:t>Yokohama ADVAN A052;</w:t>
      </w:r>
    </w:p>
    <w:p>
      <w:pPr>
        <w:ind w:left="312" w:hanging="198"/>
      </w:pPr>
      <w:r>
        <w:rPr>
          <w:rFonts w:ascii="Arial" w:hAnsi="Arial" w:eastAsia="Arial"/>
          <w:b/>
          <w:color w:val="910000"/>
        </w:rPr>
        <w:t xml:space="preserve">• </w:t>
      </w:r>
      <w:r>
        <w:rPr>
          <w:rFonts w:ascii="Arial" w:hAnsi="Arial" w:eastAsia="Arial"/>
        </w:rPr>
        <w:t>Yokohama ADVAN A048;</w:t>
      </w:r>
    </w:p>
    <w:p>
      <w:pPr>
        <w:ind w:left="312" w:hanging="198"/>
      </w:pPr>
      <w:r>
        <w:rPr>
          <w:rFonts w:ascii="Arial" w:hAnsi="Arial" w:eastAsia="Arial"/>
          <w:b/>
          <w:color w:val="910000"/>
        </w:rPr>
        <w:t xml:space="preserve">• </w:t>
      </w:r>
      <w:r>
        <w:rPr>
          <w:rFonts w:ascii="Arial" w:hAnsi="Arial" w:eastAsia="Arial"/>
        </w:rPr>
        <w:t>Nankang CR-S;</w:t>
      </w:r>
    </w:p>
    <w:p>
      <w:pPr>
        <w:ind w:left="312" w:hanging="198"/>
      </w:pPr>
      <w:r>
        <w:rPr>
          <w:rFonts w:ascii="Arial" w:hAnsi="Arial" w:eastAsia="Arial"/>
          <w:b/>
          <w:color w:val="910000"/>
        </w:rPr>
        <w:t xml:space="preserve">• </w:t>
      </w:r>
      <w:r>
        <w:rPr>
          <w:rFonts w:ascii="Arial" w:hAnsi="Arial" w:eastAsia="Arial"/>
        </w:rPr>
        <w:t>Nankang AR-1;</w:t>
      </w:r>
    </w:p>
    <w:p>
      <w:pPr>
        <w:ind w:left="312" w:hanging="198"/>
      </w:pPr>
      <w:r>
        <w:rPr>
          <w:rFonts w:ascii="Arial" w:hAnsi="Arial" w:eastAsia="Arial"/>
          <w:b/>
          <w:color w:val="910000"/>
        </w:rPr>
        <w:t xml:space="preserve">• </w:t>
      </w:r>
      <w:r>
        <w:rPr>
          <w:rFonts w:ascii="Arial" w:hAnsi="Arial" w:eastAsia="Arial"/>
        </w:rPr>
        <w:t>Hankook Ventus TD Z221;</w:t>
      </w:r>
    </w:p>
    <w:p>
      <w:pPr>
        <w:ind w:left="312" w:hanging="198"/>
      </w:pPr>
      <w:r>
        <w:rPr>
          <w:rFonts w:ascii="Arial" w:hAnsi="Arial" w:eastAsia="Arial"/>
          <w:b/>
          <w:color w:val="910000"/>
        </w:rPr>
        <w:t xml:space="preserve">• </w:t>
      </w:r>
      <w:r>
        <w:rPr>
          <w:rFonts w:ascii="Arial" w:hAnsi="Arial" w:eastAsia="Arial"/>
        </w:rPr>
        <w:t>Vitour Tempesta P1 / P1+;</w:t>
      </w:r>
    </w:p>
    <w:p>
      <w:pPr>
        <w:ind w:left="312" w:hanging="198"/>
      </w:pPr>
      <w:r>
        <w:rPr>
          <w:rFonts w:ascii="Arial" w:hAnsi="Arial" w:eastAsia="Arial"/>
          <w:b/>
          <w:color w:val="910000"/>
        </w:rPr>
        <w:t xml:space="preserve">• </w:t>
      </w:r>
      <w:r>
        <w:rPr>
          <w:rFonts w:ascii="Arial" w:hAnsi="Arial" w:eastAsia="Arial"/>
        </w:rPr>
        <w:t>Shibata R23 TW200 / TW200R / TW180;</w:t>
      </w:r>
    </w:p>
    <w:p>
      <w:pPr>
        <w:ind w:left="312" w:hanging="198"/>
      </w:pPr>
      <w:r>
        <w:rPr>
          <w:rFonts w:ascii="Arial" w:hAnsi="Arial" w:eastAsia="Arial"/>
          <w:b/>
          <w:color w:val="910000"/>
        </w:rPr>
        <w:t xml:space="preserve">• </w:t>
      </w:r>
      <w:r>
        <w:rPr>
          <w:rFonts w:ascii="Arial" w:hAnsi="Arial" w:eastAsia="Arial"/>
        </w:rPr>
        <w:t>Goodride Sport RS TW180;</w:t>
      </w:r>
    </w:p>
    <w:p>
      <w:pPr>
        <w:ind w:left="312" w:hanging="198"/>
      </w:pPr>
      <w:r>
        <w:rPr>
          <w:rFonts w:ascii="Arial" w:hAnsi="Arial" w:eastAsia="Arial"/>
          <w:b/>
          <w:color w:val="910000"/>
        </w:rPr>
        <w:t xml:space="preserve">• </w:t>
      </w:r>
      <w:r>
        <w:rPr>
          <w:rFonts w:ascii="Arial" w:hAnsi="Arial" w:eastAsia="Arial"/>
        </w:rPr>
        <w:t>Westlake Sport RS TW180;</w:t>
      </w:r>
    </w:p>
    <w:p>
      <w:pPr>
        <w:ind w:left="312" w:hanging="198"/>
      </w:pPr>
      <w:r>
        <w:rPr>
          <w:rFonts w:ascii="Arial" w:hAnsi="Arial" w:eastAsia="Arial"/>
          <w:b/>
          <w:color w:val="910000"/>
        </w:rPr>
        <w:t xml:space="preserve">• </w:t>
      </w:r>
      <w:r>
        <w:rPr>
          <w:rFonts w:ascii="Arial" w:hAnsi="Arial" w:eastAsia="Arial"/>
        </w:rPr>
        <w:t>Toyo Proxes R888R;</w:t>
      </w:r>
    </w:p>
    <w:p>
      <w:pPr>
        <w:ind w:left="312" w:hanging="198"/>
      </w:pPr>
      <w:r>
        <w:rPr>
          <w:rFonts w:ascii="Arial" w:hAnsi="Arial" w:eastAsia="Arial"/>
          <w:b/>
          <w:color w:val="910000"/>
        </w:rPr>
        <w:t xml:space="preserve">• </w:t>
      </w:r>
      <w:r>
        <w:rPr>
          <w:rFonts w:ascii="Arial" w:hAnsi="Arial" w:eastAsia="Arial"/>
        </w:rPr>
        <w:t>Michelin Pilot Sport Cup 2 / Cup 2 Connect / Cup 2 R;</w:t>
      </w:r>
    </w:p>
    <w:p>
      <w:pPr>
        <w:ind w:left="312" w:hanging="198"/>
      </w:pPr>
      <w:r>
        <w:rPr>
          <w:rFonts w:ascii="Arial" w:hAnsi="Arial" w:eastAsia="Arial"/>
          <w:b/>
          <w:color w:val="910000"/>
        </w:rPr>
        <w:t xml:space="preserve">• </w:t>
      </w:r>
      <w:r>
        <w:rPr>
          <w:rFonts w:ascii="Arial" w:hAnsi="Arial" w:eastAsia="Arial"/>
        </w:rPr>
        <w:t>Pirelli P Zero Corsa;</w:t>
      </w:r>
    </w:p>
    <w:p>
      <w:pPr>
        <w:ind w:left="312" w:hanging="198"/>
      </w:pPr>
      <w:r>
        <w:rPr>
          <w:rFonts w:ascii="Arial" w:hAnsi="Arial" w:eastAsia="Arial"/>
          <w:b/>
          <w:color w:val="910000"/>
        </w:rPr>
        <w:t xml:space="preserve">• </w:t>
      </w:r>
      <w:r>
        <w:rPr>
          <w:rFonts w:ascii="Arial" w:hAnsi="Arial" w:eastAsia="Arial"/>
        </w:rPr>
        <w:t>Pirelli P Zero Trofeo R / Trofeo RS;</w:t>
      </w:r>
    </w:p>
    <w:p>
      <w:pPr>
        <w:ind w:left="312" w:hanging="198"/>
      </w:pPr>
      <w:r>
        <w:rPr>
          <w:rFonts w:ascii="Arial" w:hAnsi="Arial" w:eastAsia="Arial"/>
          <w:b/>
          <w:color w:val="910000"/>
        </w:rPr>
        <w:t xml:space="preserve">• </w:t>
      </w:r>
      <w:r>
        <w:rPr>
          <w:rFonts w:ascii="Arial" w:hAnsi="Arial" w:eastAsia="Arial"/>
        </w:rPr>
        <w:t>Goodyear Eagle F1 SuperSport R;</w:t>
      </w:r>
    </w:p>
    <w:p>
      <w:pPr>
        <w:ind w:left="312" w:hanging="198"/>
      </w:pPr>
      <w:r>
        <w:rPr>
          <w:rFonts w:ascii="Arial" w:hAnsi="Arial" w:eastAsia="Arial"/>
          <w:b/>
          <w:color w:val="910000"/>
        </w:rPr>
        <w:t xml:space="preserve">• </w:t>
      </w:r>
      <w:r>
        <w:rPr>
          <w:rFonts w:ascii="Arial" w:hAnsi="Arial" w:eastAsia="Arial"/>
        </w:rPr>
        <w:t>Bridgestone Potenza RE-71RS;</w:t>
      </w:r>
    </w:p>
    <w:p>
      <w:pPr>
        <w:ind w:left="312" w:hanging="198"/>
      </w:pPr>
      <w:r>
        <w:rPr>
          <w:rFonts w:ascii="Arial" w:hAnsi="Arial" w:eastAsia="Arial"/>
          <w:b/>
          <w:color w:val="910000"/>
        </w:rPr>
        <w:t xml:space="preserve">• </w:t>
      </w:r>
      <w:r>
        <w:rPr>
          <w:rFonts w:ascii="Arial" w:hAnsi="Arial" w:eastAsia="Arial"/>
        </w:rPr>
        <w:t>Dunlop DIREZZA β10 / β11;</w:t>
      </w:r>
    </w:p>
    <w:p>
      <w:pPr>
        <w:ind w:left="312" w:hanging="198"/>
      </w:pPr>
      <w:r>
        <w:rPr>
          <w:rFonts w:ascii="Arial" w:hAnsi="Arial" w:eastAsia="Arial"/>
          <w:b/>
          <w:color w:val="910000"/>
        </w:rPr>
        <w:t xml:space="preserve">• </w:t>
      </w:r>
      <w:r>
        <w:rPr>
          <w:rFonts w:ascii="Arial" w:hAnsi="Arial" w:eastAsia="Arial"/>
        </w:rPr>
        <w:t>Dunlop SP Sport Maxx GT600 DSST CTT;</w:t>
      </w:r>
    </w:p>
    <w:p>
      <w:pPr>
        <w:ind w:left="312" w:hanging="198"/>
      </w:pPr>
      <w:r>
        <w:rPr>
          <w:rFonts w:ascii="Arial" w:hAnsi="Arial" w:eastAsia="Arial"/>
          <w:b/>
          <w:color w:val="910000"/>
        </w:rPr>
        <w:t xml:space="preserve">• </w:t>
      </w:r>
      <w:r>
        <w:rPr>
          <w:rFonts w:ascii="Arial" w:hAnsi="Arial" w:eastAsia="Arial"/>
        </w:rPr>
        <w:t>Rubbercraft SP-01R;</w:t>
      </w:r>
    </w:p>
    <w:p>
      <w:pPr>
        <w:ind w:left="312" w:hanging="198"/>
      </w:pPr>
      <w:r>
        <w:rPr>
          <w:rFonts w:ascii="Arial" w:hAnsi="Arial" w:eastAsia="Arial"/>
          <w:b/>
          <w:color w:val="910000"/>
        </w:rPr>
        <w:t xml:space="preserve">• </w:t>
      </w:r>
      <w:r>
        <w:rPr>
          <w:rFonts w:ascii="Arial" w:hAnsi="Arial" w:eastAsia="Arial"/>
        </w:rPr>
        <w:t>иные шины сопоставимой производительности, отнесённые Организатором к TRACK.</w:t>
      </w:r>
    </w:p>
    <w:p>
      <w:pPr>
        <w:pStyle w:val="Heading2"/>
      </w:pPr>
      <w:r>
        <w:t>D. SLICK</w:t>
      </w:r>
    </w:p>
    <w:p>
      <w:pPr/>
      <w:r>
        <w:rPr>
          <w:rFonts w:ascii="Arial" w:hAnsi="Arial" w:eastAsia="Arial"/>
        </w:rPr>
        <w:t>Специализированные гоночные шины, включая гладкие гоночные слики и специализированные гоночные дождевые шины (Racing Wet / Rain). Разрешены только в ПРО и АБСОЛЮТ.</w:t>
      </w:r>
    </w:p>
    <w:p>
      <w:pPr>
        <w:pStyle w:val="Heading2"/>
      </w:pPr>
      <w:r>
        <w:t>Правила спорной классификации</w:t>
      </w:r>
    </w:p>
    <w:p>
      <w:pPr>
        <w:ind w:left="312" w:hanging="198"/>
      </w:pPr>
      <w:r>
        <w:rPr>
          <w:rFonts w:ascii="Arial" w:hAnsi="Arial" w:eastAsia="Arial"/>
          <w:b/>
          <w:color w:val="910000"/>
        </w:rPr>
        <w:t xml:space="preserve">• </w:t>
      </w:r>
      <w:r>
        <w:rPr>
          <w:rFonts w:ascii="Arial" w:hAnsi="Arial" w:eastAsia="Arial"/>
        </w:rPr>
        <w:t>приоритет имеет конкретная модель и компаунд, а не только значение Treadwear;</w:t>
      </w:r>
    </w:p>
    <w:p>
      <w:pPr>
        <w:ind w:left="312" w:hanging="198"/>
      </w:pPr>
      <w:r>
        <w:rPr>
          <w:rFonts w:ascii="Arial" w:hAnsi="Arial" w:eastAsia="Arial"/>
          <w:b/>
          <w:color w:val="910000"/>
        </w:rPr>
        <w:t xml:space="preserve">• </w:t>
      </w:r>
      <w:r>
        <w:rPr>
          <w:rFonts w:ascii="Arial" w:hAnsi="Arial" w:eastAsia="Arial"/>
        </w:rPr>
        <w:t>если одна модель выпускается в нескольких TW/составах, каждая версия классифицируется отдельно;</w:t>
      </w:r>
    </w:p>
    <w:p>
      <w:pPr>
        <w:ind w:left="312" w:hanging="198"/>
      </w:pPr>
      <w:r>
        <w:rPr>
          <w:rFonts w:ascii="Arial" w:hAnsi="Arial" w:eastAsia="Arial"/>
          <w:b/>
          <w:color w:val="910000"/>
        </w:rPr>
        <w:t xml:space="preserve">• </w:t>
      </w:r>
      <w:r>
        <w:rPr>
          <w:rFonts w:ascii="Arial" w:hAnsi="Arial" w:eastAsia="Arial"/>
        </w:rPr>
        <w:t>при отсутствии подтверждённого TW шина не допускается в СТОК без предварительного решения Организатора;</w:t>
      </w:r>
    </w:p>
    <w:p>
      <w:pPr>
        <w:ind w:left="312" w:hanging="198"/>
      </w:pPr>
      <w:r>
        <w:rPr>
          <w:rFonts w:ascii="Arial" w:hAnsi="Arial" w:eastAsia="Arial"/>
          <w:b/>
          <w:color w:val="910000"/>
        </w:rPr>
        <w:t xml:space="preserve">• </w:t>
      </w:r>
      <w:r>
        <w:rPr>
          <w:rFonts w:ascii="Arial" w:hAnsi="Arial" w:eastAsia="Arial"/>
        </w:rPr>
        <w:t>решение по новой или неуказанной модели должно быть принято до официальной зачётной сессии.</w:t>
      </w:r>
    </w:p>
    <w:p>
      <w:pPr>
        <w:spacing w:before="20" w:after="80"/>
        <w:pBdr>
          <w:bottom w:val="single" w:sz="8" w:space="1" w:color="910000"/>
        </w:pBdr>
      </w:pPr>
    </w:p>
    <w:p>
      <w:pPr>
        <w:jc w:val="center"/>
      </w:pPr>
      <w:r>
        <w:rPr>
          <w:rFonts w:ascii="Arial" w:hAnsi="Arial" w:eastAsia="Arial"/>
          <w:b/>
          <w:color w:val="5F5F5F"/>
          <w:sz w:val="18"/>
        </w:rPr>
        <w:t>Конец Технического регламента</w:t>
      </w:r>
    </w:p>
    <w:sectPr w:rsidR="00FC693F" w:rsidRPr="0006063C" w:rsidSect="00034616">
      <w:footerReference w:type="default" r:id="rId9"/>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5F5F5F"/>
        <w:sz w:val="16"/>
      </w:rPr>
      <w:t xml:space="preserve">КАРБАНАРА КАП  |  Технический регламент  |  </w:t>
    </w:r>
    <w:r>
      <w:rPr>
        <w:rFonts w:ascii="Arial" w:hAnsi="Arial" w:eastAsia="Arial"/>
        <w:color w:val="5F5F5F"/>
        <w:sz w:val="16"/>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7" w:lineRule="auto"/>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80"/>
      <w:outlineLvl w:val="0"/>
    </w:pPr>
    <w:rPr>
      <w:rFonts w:asciiTheme="majorHAnsi" w:eastAsiaTheme="majorEastAsia" w:hAnsiTheme="majorHAnsi" w:cstheme="majorBidi" w:ascii="Arial" w:hAnsi="Arial"/>
      <w:b/>
      <w:bCs/>
      <w:color w:val="910000"/>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rial" w:hAnsi="Arial"/>
      <w:b/>
      <w:bCs/>
      <w:color w:val="232323"/>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Arial" w:hAnsi="Arial"/>
      <w:b/>
      <w:bCs/>
      <w:color w:val="23232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140"/>
      <w:contextualSpacing/>
    </w:pPr>
    <w:rPr>
      <w:rFonts w:asciiTheme="majorHAnsi" w:eastAsiaTheme="majorEastAsia" w:hAnsiTheme="majorHAnsi" w:cstheme="majorBidi" w:ascii="Arial" w:hAnsi="Arial"/>
      <w:b/>
      <w:color w:val="232323"/>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
    <w:name w:val="Note"/>
    <w:pPr>
      <w:spacing w:after="60"/>
    </w:pPr>
    <w:rPr>
      <w:rFonts w:ascii="Arial" w:hAnsi="Arial"/>
      <w:color w:val="5F5F5F"/>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